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rsidP="00C84B52">
            <w:pPr>
              <w:spacing w:line="276" w:lineRule="auto"/>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005C8B" w:rsidP="00C84B52">
            <w:pPr>
              <w:spacing w:line="276" w:lineRule="auto"/>
              <w:rPr>
                <w:rFonts w:ascii="Arial" w:hAnsi="Arial"/>
                <w:b/>
                <w:bCs/>
                <w:rtl/>
              </w:rPr>
            </w:pPr>
            <w:r>
              <w:rPr>
                <w:rFonts w:ascii="Arial" w:hAnsi="Arial" w:hint="cs"/>
                <w:b/>
                <w:bCs/>
                <w:rtl/>
              </w:rPr>
              <w:t>כב' ה</w:t>
            </w:r>
            <w:r>
              <w:rPr>
                <w:rFonts w:ascii="Arial" w:hAnsi="Arial"/>
                <w:b/>
                <w:bCs/>
                <w:rtl/>
              </w:rPr>
              <w:t>שופט</w:t>
            </w:r>
            <w:r>
              <w:rPr>
                <w:rFonts w:ascii="Arial" w:hAnsi="Arial" w:hint="cs"/>
                <w:b/>
                <w:bCs/>
                <w:rtl/>
              </w:rPr>
              <w:t xml:space="preserve">  </w:t>
            </w:r>
            <w:r>
              <w:rPr>
                <w:rFonts w:ascii="Arial" w:hAnsi="Arial"/>
                <w:b/>
                <w:bCs/>
                <w:rtl/>
              </w:rPr>
              <w:t>אביגדור דורות</w:t>
            </w:r>
            <w:r w:rsidR="0005774A">
              <w:rPr>
                <w:rFonts w:ascii="Arial" w:hAnsi="Arial" w:hint="cs"/>
                <w:b/>
                <w:bCs/>
                <w:rtl/>
              </w:rPr>
              <w:t xml:space="preserve">, </w:t>
            </w:r>
            <w:r w:rsidR="00D167ED">
              <w:rPr>
                <w:rFonts w:ascii="Arial" w:hAnsi="Arial" w:hint="cs"/>
                <w:b/>
                <w:bCs/>
                <w:rtl/>
              </w:rPr>
              <w:t>י</w:t>
            </w:r>
            <w:r w:rsidR="0005774A">
              <w:rPr>
                <w:rFonts w:ascii="Arial" w:hAnsi="Arial" w:hint="cs"/>
                <w:b/>
                <w:bCs/>
                <w:rtl/>
              </w:rPr>
              <w:t xml:space="preserve">ו"ר </w:t>
            </w:r>
          </w:p>
          <w:p w:rsidR="0005774A" w:rsidRDefault="0005774A" w:rsidP="00C84B52">
            <w:pPr>
              <w:spacing w:line="276" w:lineRule="auto"/>
              <w:jc w:val="both"/>
              <w:rPr>
                <w:rFonts w:ascii="David" w:hAnsi="David"/>
                <w:b/>
                <w:bCs/>
                <w:noProof w:val="0"/>
              </w:rPr>
            </w:pPr>
            <w:r>
              <w:rPr>
                <w:rFonts w:ascii="David" w:hAnsi="David" w:hint="cs"/>
                <w:b/>
                <w:bCs/>
                <w:noProof w:val="0"/>
                <w:rtl/>
              </w:rPr>
              <w:t xml:space="preserve">גב' </w:t>
            </w:r>
            <w:r w:rsidR="00D44508">
              <w:rPr>
                <w:rFonts w:ascii="David" w:hAnsi="David"/>
                <w:b/>
                <w:bCs/>
                <w:noProof w:val="0"/>
                <w:rtl/>
              </w:rPr>
              <w:t>נאוה סירקיס</w:t>
            </w:r>
            <w:r w:rsidR="00D44508">
              <w:rPr>
                <w:rFonts w:ascii="David" w:hAnsi="David" w:hint="cs"/>
                <w:b/>
                <w:bCs/>
                <w:noProof w:val="0"/>
                <w:rtl/>
              </w:rPr>
              <w:t xml:space="preserve">, </w:t>
            </w:r>
            <w:r>
              <w:rPr>
                <w:rFonts w:ascii="David" w:hAnsi="David"/>
                <w:b/>
                <w:bCs/>
                <w:noProof w:val="0"/>
                <w:rtl/>
              </w:rPr>
              <w:t>חברה</w:t>
            </w:r>
          </w:p>
          <w:p w:rsidR="00694556" w:rsidRDefault="0005774A" w:rsidP="00D44508">
            <w:pPr>
              <w:spacing w:line="276" w:lineRule="auto"/>
              <w:jc w:val="both"/>
              <w:rPr>
                <w:rFonts w:ascii="David" w:hAnsi="David"/>
                <w:b/>
                <w:bCs/>
                <w:noProof w:val="0"/>
                <w:rtl/>
              </w:rPr>
            </w:pPr>
            <w:r>
              <w:rPr>
                <w:rFonts w:ascii="David" w:hAnsi="David" w:hint="cs"/>
                <w:b/>
                <w:bCs/>
                <w:noProof w:val="0"/>
                <w:rtl/>
              </w:rPr>
              <w:t xml:space="preserve">גב' </w:t>
            </w:r>
            <w:r w:rsidR="00D44508">
              <w:rPr>
                <w:rFonts w:ascii="David" w:hAnsi="David"/>
                <w:b/>
                <w:bCs/>
                <w:noProof w:val="0"/>
                <w:rtl/>
              </w:rPr>
              <w:t>גבע בלטר</w:t>
            </w:r>
            <w:r w:rsidR="00D44508">
              <w:rPr>
                <w:rFonts w:ascii="David" w:hAnsi="David" w:hint="cs"/>
                <w:b/>
                <w:bCs/>
                <w:noProof w:val="0"/>
                <w:rtl/>
              </w:rPr>
              <w:t xml:space="preserve">, </w:t>
            </w:r>
            <w:r w:rsidR="00C84B52">
              <w:rPr>
                <w:rFonts w:ascii="David" w:hAnsi="David"/>
                <w:b/>
                <w:bCs/>
                <w:noProof w:val="0"/>
                <w:rtl/>
              </w:rPr>
              <w:t>חבר</w:t>
            </w:r>
            <w:r w:rsidR="00C84B52">
              <w:rPr>
                <w:rFonts w:ascii="David" w:hAnsi="David" w:hint="cs"/>
                <w:b/>
                <w:bCs/>
                <w:noProof w:val="0"/>
                <w:rtl/>
              </w:rPr>
              <w:t>ה</w:t>
            </w:r>
          </w:p>
          <w:p w:rsidR="009652F5" w:rsidRPr="00C84B52" w:rsidRDefault="009652F5" w:rsidP="00D44508">
            <w:pPr>
              <w:spacing w:line="276" w:lineRule="auto"/>
              <w:jc w:val="both"/>
              <w:rPr>
                <w:rFonts w:ascii="David" w:hAnsi="David"/>
                <w:b/>
                <w:bCs/>
                <w:noProof w:val="0"/>
              </w:rPr>
            </w:pPr>
          </w:p>
        </w:tc>
      </w:tr>
      <w:tr w:rsidR="00694556">
        <w:trPr>
          <w:jc w:val="center"/>
        </w:trPr>
        <w:tc>
          <w:tcPr>
            <w:tcW w:w="3249" w:type="dxa"/>
            <w:gridSpan w:val="2"/>
          </w:tcPr>
          <w:p w:rsidR="00992A36" w:rsidRDefault="009652F5" w:rsidP="00C84B52">
            <w:pPr>
              <w:bidi w:val="0"/>
              <w:spacing w:line="276" w:lineRule="auto"/>
              <w:jc w:val="right"/>
              <w:rPr>
                <w:rFonts w:ascii="Arial" w:hAnsi="Arial"/>
                <w:b/>
                <w:bCs/>
                <w:noProof w:val="0"/>
                <w:sz w:val="26"/>
                <w:szCs w:val="26"/>
                <w:rtl/>
              </w:rPr>
            </w:pPr>
            <w:r>
              <w:rPr>
                <w:rFonts w:ascii="Arial" w:hAnsi="Arial" w:hint="cs"/>
                <w:b/>
                <w:bCs/>
                <w:noProof w:val="0"/>
                <w:sz w:val="26"/>
                <w:szCs w:val="26"/>
                <w:rtl/>
              </w:rPr>
              <w:t>ה</w:t>
            </w:r>
            <w:r w:rsidR="0005774A">
              <w:rPr>
                <w:rFonts w:ascii="Arial" w:hAnsi="Arial"/>
                <w:b/>
                <w:bCs/>
                <w:noProof w:val="0"/>
                <w:sz w:val="26"/>
                <w:szCs w:val="26"/>
                <w:rtl/>
              </w:rPr>
              <w:t>עוררי</w:t>
            </w:r>
            <w:r w:rsidR="0005774A">
              <w:rPr>
                <w:rFonts w:ascii="Arial" w:hAnsi="Arial" w:hint="cs"/>
                <w:b/>
                <w:bCs/>
                <w:noProof w:val="0"/>
                <w:sz w:val="26"/>
                <w:szCs w:val="26"/>
                <w:rtl/>
              </w:rPr>
              <w:t>ם:</w:t>
            </w:r>
          </w:p>
        </w:tc>
        <w:tc>
          <w:tcPr>
            <w:tcW w:w="5571" w:type="dxa"/>
          </w:tcPr>
          <w:p w:rsidR="00694556" w:rsidRDefault="00986101" w:rsidP="00C84B52">
            <w:pPr>
              <w:spacing w:line="276" w:lineRule="auto"/>
              <w:rPr>
                <w:b/>
                <w:bCs/>
                <w:noProof w:val="0"/>
                <w:sz w:val="26"/>
                <w:szCs w:val="26"/>
              </w:rPr>
            </w:pPr>
            <w:r>
              <w:rPr>
                <w:rFonts w:ascii="Arial" w:hAnsi="Arial"/>
                <w:b/>
                <w:bCs/>
                <w:noProof w:val="0"/>
                <w:sz w:val="26"/>
                <w:szCs w:val="26"/>
                <w:rtl/>
              </w:rPr>
              <w:t>1</w:t>
            </w:r>
            <w:r w:rsidR="00625C89">
              <w:rPr>
                <w:b/>
                <w:bCs/>
                <w:noProof w:val="0"/>
                <w:sz w:val="26"/>
                <w:szCs w:val="26"/>
                <w:rtl/>
              </w:rPr>
              <w:t>.</w:t>
            </w:r>
            <w:r>
              <w:rPr>
                <w:rFonts w:ascii="Arial" w:hAnsi="Arial"/>
                <w:b/>
                <w:bCs/>
                <w:noProof w:val="0"/>
                <w:sz w:val="26"/>
                <w:szCs w:val="26"/>
                <w:rtl/>
              </w:rPr>
              <w:t>אחמד אבו אלהוא</w:t>
            </w:r>
          </w:p>
          <w:p w:rsidR="00694556" w:rsidRDefault="00986101" w:rsidP="00C84B52">
            <w:pPr>
              <w:spacing w:line="276" w:lineRule="auto"/>
              <w:rPr>
                <w:b/>
                <w:bCs/>
                <w:noProof w:val="0"/>
                <w:sz w:val="26"/>
                <w:szCs w:val="26"/>
                <w:rtl/>
              </w:rPr>
            </w:pPr>
            <w:r>
              <w:rPr>
                <w:rFonts w:ascii="Arial" w:hAnsi="Arial"/>
                <w:b/>
                <w:bCs/>
                <w:noProof w:val="0"/>
                <w:sz w:val="26"/>
                <w:szCs w:val="26"/>
                <w:rtl/>
              </w:rPr>
              <w:t>2</w:t>
            </w:r>
            <w:r w:rsidR="00625C89">
              <w:rPr>
                <w:b/>
                <w:bCs/>
                <w:noProof w:val="0"/>
                <w:sz w:val="26"/>
                <w:szCs w:val="26"/>
                <w:rtl/>
              </w:rPr>
              <w:t>.</w:t>
            </w:r>
            <w:r>
              <w:rPr>
                <w:rFonts w:ascii="Arial" w:hAnsi="Arial"/>
                <w:b/>
                <w:bCs/>
                <w:noProof w:val="0"/>
                <w:sz w:val="26"/>
                <w:szCs w:val="26"/>
                <w:rtl/>
              </w:rPr>
              <w:t>פרוגרסיב וויזון אינטרנשיונל</w:t>
            </w:r>
          </w:p>
          <w:p w:rsidR="0005774A" w:rsidRDefault="00E67DE3" w:rsidP="00E67DE3">
            <w:pPr>
              <w:spacing w:line="276" w:lineRule="auto"/>
              <w:rPr>
                <w:b/>
                <w:bCs/>
                <w:noProof w:val="0"/>
                <w:sz w:val="26"/>
                <w:szCs w:val="26"/>
              </w:rPr>
            </w:pPr>
            <w:r>
              <w:rPr>
                <w:rFonts w:ascii="David" w:hAnsi="David"/>
                <w:noProof w:val="0"/>
                <w:rtl/>
              </w:rPr>
              <w:t>ע"י ב"כ עוה"ד</w:t>
            </w:r>
            <w:r>
              <w:rPr>
                <w:rFonts w:ascii="David" w:hAnsi="David" w:hint="cs"/>
                <w:noProof w:val="0"/>
                <w:rtl/>
              </w:rPr>
              <w:t xml:space="preserve"> </w:t>
            </w:r>
            <w:r w:rsidR="0005774A">
              <w:rPr>
                <w:rFonts w:ascii="David" w:hAnsi="David"/>
                <w:noProof w:val="0"/>
                <w:rtl/>
              </w:rPr>
              <w:t xml:space="preserve">סלי אילון </w:t>
            </w:r>
          </w:p>
        </w:tc>
      </w:tr>
      <w:tr w:rsidR="00694556">
        <w:trPr>
          <w:jc w:val="center"/>
        </w:trPr>
        <w:tc>
          <w:tcPr>
            <w:tcW w:w="8820" w:type="dxa"/>
            <w:gridSpan w:val="3"/>
          </w:tcPr>
          <w:p w:rsidR="00694556" w:rsidRDefault="00694556" w:rsidP="00C84B52">
            <w:pPr>
              <w:spacing w:line="276" w:lineRule="auto"/>
              <w:rPr>
                <w:rFonts w:ascii="Arial" w:hAnsi="Arial"/>
                <w:b/>
                <w:bCs/>
                <w:noProof w:val="0"/>
                <w:sz w:val="26"/>
                <w:szCs w:val="26"/>
                <w:rtl/>
              </w:rPr>
            </w:pPr>
          </w:p>
          <w:p w:rsidR="00694556" w:rsidRDefault="00005C8B" w:rsidP="00C84B52">
            <w:pPr>
              <w:spacing w:line="276" w:lineRule="auto"/>
              <w:jc w:val="center"/>
              <w:rPr>
                <w:rFonts w:ascii="Arial" w:hAnsi="Arial"/>
                <w:b/>
                <w:bCs/>
                <w:noProof w:val="0"/>
                <w:sz w:val="26"/>
                <w:szCs w:val="26"/>
                <w:rtl/>
              </w:rPr>
            </w:pPr>
            <w:r>
              <w:rPr>
                <w:rFonts w:ascii="Arial" w:hAnsi="Arial"/>
                <w:b/>
                <w:bCs/>
                <w:noProof w:val="0"/>
                <w:sz w:val="26"/>
                <w:szCs w:val="26"/>
                <w:rtl/>
              </w:rPr>
              <w:t>נגד</w:t>
            </w:r>
          </w:p>
          <w:p w:rsidR="00694556" w:rsidRDefault="00694556" w:rsidP="00C84B52">
            <w:pPr>
              <w:spacing w:line="276" w:lineRule="auto"/>
              <w:rPr>
                <w:rFonts w:ascii="Arial" w:hAnsi="Arial"/>
                <w:b/>
                <w:bCs/>
                <w:noProof w:val="0"/>
                <w:sz w:val="26"/>
                <w:szCs w:val="26"/>
              </w:rPr>
            </w:pPr>
          </w:p>
        </w:tc>
      </w:tr>
      <w:tr w:rsidR="00694556">
        <w:trPr>
          <w:jc w:val="center"/>
        </w:trPr>
        <w:tc>
          <w:tcPr>
            <w:tcW w:w="3249" w:type="dxa"/>
            <w:gridSpan w:val="2"/>
          </w:tcPr>
          <w:p w:rsidR="00694556" w:rsidRDefault="0005774A" w:rsidP="00C84B52">
            <w:pPr>
              <w:spacing w:line="276" w:lineRule="auto"/>
              <w:rPr>
                <w:rFonts w:ascii="Arial" w:hAnsi="Arial"/>
                <w:b/>
                <w:bCs/>
                <w:noProof w:val="0"/>
                <w:sz w:val="26"/>
                <w:szCs w:val="26"/>
              </w:rPr>
            </w:pPr>
            <w:r>
              <w:rPr>
                <w:rFonts w:ascii="Arial" w:hAnsi="Arial" w:hint="cs"/>
                <w:b/>
                <w:bCs/>
                <w:noProof w:val="0"/>
                <w:sz w:val="26"/>
                <w:szCs w:val="26"/>
                <w:rtl/>
              </w:rPr>
              <w:t>המשיב:</w:t>
            </w:r>
          </w:p>
        </w:tc>
        <w:tc>
          <w:tcPr>
            <w:tcW w:w="5571" w:type="dxa"/>
          </w:tcPr>
          <w:p w:rsidR="00694556" w:rsidRDefault="00E67DE3" w:rsidP="00C84B52">
            <w:pPr>
              <w:spacing w:line="276" w:lineRule="auto"/>
              <w:rPr>
                <w:rFonts w:ascii="Arial" w:hAnsi="Arial"/>
                <w:b/>
                <w:bCs/>
                <w:noProof w:val="0"/>
                <w:sz w:val="26"/>
                <w:szCs w:val="26"/>
                <w:rtl/>
              </w:rPr>
            </w:pPr>
            <w:r>
              <w:rPr>
                <w:rFonts w:ascii="Arial" w:hAnsi="Arial" w:hint="cs"/>
                <w:b/>
                <w:bCs/>
                <w:noProof w:val="0"/>
                <w:sz w:val="26"/>
                <w:szCs w:val="26"/>
                <w:rtl/>
              </w:rPr>
              <w:t>מנהל מיסוי מקרקעין - ירושלים</w:t>
            </w:r>
          </w:p>
          <w:p w:rsidR="00E67DE3" w:rsidRDefault="003B7C52" w:rsidP="003B7C52">
            <w:pPr>
              <w:spacing w:line="276" w:lineRule="auto"/>
              <w:rPr>
                <w:noProof w:val="0"/>
                <w:sz w:val="26"/>
                <w:szCs w:val="26"/>
                <w:rtl/>
              </w:rPr>
            </w:pPr>
            <w:r>
              <w:rPr>
                <w:rFonts w:ascii="David" w:hAnsi="David"/>
                <w:noProof w:val="0"/>
                <w:rtl/>
              </w:rPr>
              <w:t>ע"י עו"ד בינה צמח מאונר</w:t>
            </w:r>
            <w:r>
              <w:rPr>
                <w:rFonts w:hint="cs"/>
                <w:b/>
                <w:bCs/>
                <w:noProof w:val="0"/>
                <w:sz w:val="26"/>
                <w:szCs w:val="26"/>
                <w:rtl/>
              </w:rPr>
              <w:t xml:space="preserve"> </w:t>
            </w:r>
          </w:p>
          <w:p w:rsidR="0005774A" w:rsidRDefault="003B7C52" w:rsidP="003B7C52">
            <w:pPr>
              <w:spacing w:line="276" w:lineRule="auto"/>
              <w:rPr>
                <w:b/>
                <w:bCs/>
                <w:noProof w:val="0"/>
                <w:sz w:val="26"/>
                <w:szCs w:val="26"/>
                <w:rtl/>
              </w:rPr>
            </w:pPr>
            <w:r w:rsidRPr="003B7C52">
              <w:rPr>
                <w:rFonts w:hint="cs"/>
                <w:noProof w:val="0"/>
                <w:sz w:val="26"/>
                <w:szCs w:val="26"/>
                <w:rtl/>
              </w:rPr>
              <w:t>מ</w:t>
            </w:r>
            <w:r w:rsidR="0005774A">
              <w:rPr>
                <w:rFonts w:ascii="David" w:hAnsi="David"/>
                <w:noProof w:val="0"/>
                <w:rtl/>
              </w:rPr>
              <w:t>פרקליטות מחוז ירושלים (אזרחי)</w:t>
            </w:r>
          </w:p>
        </w:tc>
      </w:tr>
    </w:tbl>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05774A" w:rsidRDefault="0005774A" w:rsidP="0005774A">
      <w:pPr>
        <w:spacing w:line="360" w:lineRule="auto"/>
        <w:jc w:val="both"/>
        <w:rPr>
          <w:rFonts w:ascii="David" w:hAnsi="David"/>
          <w:noProof w:val="0"/>
        </w:rPr>
      </w:pPr>
      <w:r>
        <w:rPr>
          <w:rFonts w:ascii="David" w:hAnsi="David"/>
          <w:b/>
          <w:bCs/>
          <w:noProof w:val="0"/>
          <w:u w:val="single"/>
          <w:rtl/>
        </w:rPr>
        <w:t>יו"ר הוועדה, השופט אביגדור דורות:</w:t>
      </w:r>
    </w:p>
    <w:p w:rsidR="0005774A" w:rsidRDefault="0005774A" w:rsidP="009652F5">
      <w:pPr>
        <w:spacing w:line="360" w:lineRule="auto"/>
        <w:jc w:val="both"/>
        <w:rPr>
          <w:rFonts w:ascii="David" w:hAnsi="David"/>
          <w:noProof w:val="0"/>
          <w:rtl/>
        </w:rPr>
      </w:pPr>
      <w:r>
        <w:rPr>
          <w:rFonts w:ascii="David" w:hAnsi="David"/>
          <w:noProof w:val="0"/>
          <w:rtl/>
        </w:rPr>
        <w:t xml:space="preserve">לפנינו ערר בהתאם </w:t>
      </w:r>
      <w:r w:rsidR="003B7C52">
        <w:rPr>
          <w:rFonts w:hint="cs"/>
          <w:rtl/>
        </w:rPr>
        <w:t xml:space="preserve">לחוק מיסוי מקרקעין (שבח </w:t>
      </w:r>
      <w:r w:rsidR="009652F5">
        <w:rPr>
          <w:rFonts w:hint="cs"/>
          <w:rtl/>
        </w:rPr>
        <w:t>ורכישה</w:t>
      </w:r>
      <w:r w:rsidR="003B7C52">
        <w:rPr>
          <w:rFonts w:hint="cs"/>
          <w:rtl/>
        </w:rPr>
        <w:t xml:space="preserve">) </w:t>
      </w:r>
      <w:r>
        <w:rPr>
          <w:rFonts w:ascii="David" w:hAnsi="David"/>
          <w:noProof w:val="0"/>
          <w:rtl/>
        </w:rPr>
        <w:t>התשכ"ג-1963 (להלן: "</w:t>
      </w:r>
      <w:r>
        <w:rPr>
          <w:rFonts w:ascii="David" w:hAnsi="David"/>
          <w:b/>
          <w:bCs/>
          <w:noProof w:val="0"/>
          <w:rtl/>
        </w:rPr>
        <w:t>חוק מיסוי מקרקעין</w:t>
      </w:r>
      <w:r>
        <w:rPr>
          <w:rFonts w:ascii="David" w:hAnsi="David"/>
          <w:noProof w:val="0"/>
          <w:rtl/>
        </w:rPr>
        <w:t>" או "</w:t>
      </w:r>
      <w:r>
        <w:rPr>
          <w:rFonts w:ascii="David" w:hAnsi="David"/>
          <w:b/>
          <w:bCs/>
          <w:noProof w:val="0"/>
          <w:rtl/>
        </w:rPr>
        <w:t>החוק</w:t>
      </w:r>
      <w:r>
        <w:rPr>
          <w:rFonts w:ascii="David" w:hAnsi="David"/>
          <w:noProof w:val="0"/>
          <w:rtl/>
        </w:rPr>
        <w:t xml:space="preserve">") על החלטת המשיב בהשגת מס שבח ומס רכישה, בעסקת המכר שנקשרו ביניהם העוררים לגבי הבית הידוע כגוש 30514, חלקה 1 </w:t>
      </w:r>
      <w:r>
        <w:rPr>
          <w:rFonts w:ascii="David" w:hAnsi="David"/>
          <w:rtl/>
        </w:rPr>
        <w:t>(להלן: "</w:t>
      </w:r>
      <w:r>
        <w:rPr>
          <w:rFonts w:ascii="David" w:hAnsi="David"/>
          <w:b/>
          <w:bCs/>
          <w:rtl/>
        </w:rPr>
        <w:t>הנכס</w:t>
      </w:r>
      <w:r>
        <w:rPr>
          <w:rFonts w:ascii="David" w:hAnsi="David"/>
          <w:rtl/>
        </w:rPr>
        <w:t>" או "</w:t>
      </w:r>
      <w:r>
        <w:rPr>
          <w:rFonts w:ascii="David" w:hAnsi="David"/>
          <w:b/>
          <w:bCs/>
          <w:rtl/>
        </w:rPr>
        <w:t>הבית</w:t>
      </w:r>
      <w:r>
        <w:rPr>
          <w:rFonts w:ascii="David" w:hAnsi="David"/>
          <w:rtl/>
        </w:rPr>
        <w:t>"</w:t>
      </w:r>
      <w:r w:rsidR="003B7C52">
        <w:rPr>
          <w:rFonts w:ascii="David" w:hAnsi="David" w:hint="cs"/>
          <w:noProof w:val="0"/>
          <w:rtl/>
        </w:rPr>
        <w:t>)</w:t>
      </w:r>
      <w:r>
        <w:rPr>
          <w:rFonts w:ascii="David" w:hAnsi="David"/>
          <w:noProof w:val="0"/>
          <w:rtl/>
        </w:rPr>
        <w:t xml:space="preserve">, לפיה הבית איננו מהווה "דירת מגורים" </w:t>
      </w:r>
      <w:r w:rsidR="009652F5">
        <w:rPr>
          <w:rFonts w:ascii="David" w:hAnsi="David" w:hint="cs"/>
          <w:noProof w:val="0"/>
          <w:rtl/>
        </w:rPr>
        <w:t>וגם</w:t>
      </w:r>
      <w:r>
        <w:rPr>
          <w:rFonts w:ascii="David" w:hAnsi="David"/>
          <w:noProof w:val="0"/>
          <w:rtl/>
        </w:rPr>
        <w:t xml:space="preserve"> "דירת מגורים מזכה"</w:t>
      </w:r>
      <w:r w:rsidR="009652F5">
        <w:rPr>
          <w:rFonts w:ascii="David" w:hAnsi="David" w:hint="cs"/>
          <w:noProof w:val="0"/>
          <w:rtl/>
        </w:rPr>
        <w:t>,</w:t>
      </w:r>
      <w:r>
        <w:rPr>
          <w:rFonts w:ascii="David" w:hAnsi="David"/>
          <w:noProof w:val="0"/>
          <w:rtl/>
        </w:rPr>
        <w:t xml:space="preserve"> לפי הגדרתן בחוק. </w:t>
      </w:r>
    </w:p>
    <w:p w:rsidR="0005774A" w:rsidRDefault="0005774A" w:rsidP="0005774A">
      <w:pPr>
        <w:spacing w:line="360" w:lineRule="auto"/>
        <w:jc w:val="both"/>
        <w:rPr>
          <w:rFonts w:ascii="David" w:hAnsi="David"/>
          <w:b/>
          <w:bCs/>
          <w:noProof w:val="0"/>
          <w:u w:val="single"/>
          <w:rtl/>
        </w:rPr>
      </w:pPr>
    </w:p>
    <w:p w:rsidR="0005774A" w:rsidRDefault="0005774A" w:rsidP="0005774A">
      <w:pPr>
        <w:spacing w:line="360" w:lineRule="auto"/>
        <w:jc w:val="both"/>
        <w:rPr>
          <w:rFonts w:ascii="David" w:hAnsi="David"/>
          <w:noProof w:val="0"/>
          <w:rtl/>
        </w:rPr>
      </w:pPr>
      <w:r>
        <w:rPr>
          <w:rFonts w:ascii="David" w:hAnsi="David"/>
          <w:b/>
          <w:bCs/>
          <w:noProof w:val="0"/>
          <w:u w:val="single"/>
          <w:rtl/>
        </w:rPr>
        <w:t>רקע עובדתי</w:t>
      </w:r>
    </w:p>
    <w:p w:rsidR="0005774A" w:rsidRDefault="0005774A" w:rsidP="009652F5">
      <w:pPr>
        <w:pStyle w:val="ad"/>
        <w:numPr>
          <w:ilvl w:val="0"/>
          <w:numId w:val="1"/>
        </w:numPr>
        <w:spacing w:line="360" w:lineRule="auto"/>
        <w:jc w:val="both"/>
        <w:rPr>
          <w:rFonts w:ascii="David" w:hAnsi="David"/>
        </w:rPr>
      </w:pPr>
      <w:r>
        <w:rPr>
          <w:rFonts w:ascii="David" w:hAnsi="David"/>
          <w:rtl/>
        </w:rPr>
        <w:t>המוכר, אחמד אבו אלהוא (להלן: "</w:t>
      </w:r>
      <w:r>
        <w:rPr>
          <w:rFonts w:ascii="David" w:hAnsi="David"/>
          <w:b/>
          <w:bCs/>
          <w:rtl/>
        </w:rPr>
        <w:t>העורר 1</w:t>
      </w:r>
      <w:r>
        <w:rPr>
          <w:rFonts w:ascii="David" w:hAnsi="David"/>
          <w:rtl/>
        </w:rPr>
        <w:t>") רכש 3/13 חלקים במקרקעין</w:t>
      </w:r>
      <w:r w:rsidR="009652F5">
        <w:rPr>
          <w:rFonts w:ascii="David" w:hAnsi="David" w:hint="cs"/>
          <w:rtl/>
        </w:rPr>
        <w:t xml:space="preserve"> המצויים ברח' אל-שעיה במזרח ירושלים</w:t>
      </w:r>
      <w:r>
        <w:rPr>
          <w:rFonts w:ascii="David" w:hAnsi="David"/>
          <w:rtl/>
        </w:rPr>
        <w:t>. בין השנים 1964-1976 לערך, בנה המוכר את הבית שיועד למגורי משפחתו.</w:t>
      </w:r>
    </w:p>
    <w:p w:rsidR="0005774A" w:rsidRPr="003B7C52" w:rsidRDefault="0005774A" w:rsidP="0005774A">
      <w:pPr>
        <w:pStyle w:val="ad"/>
        <w:spacing w:line="360" w:lineRule="auto"/>
        <w:jc w:val="both"/>
        <w:rPr>
          <w:rFonts w:ascii="David" w:hAnsi="David"/>
        </w:rPr>
      </w:pPr>
    </w:p>
    <w:p w:rsidR="0005774A" w:rsidRDefault="0005774A" w:rsidP="00E86340">
      <w:pPr>
        <w:pStyle w:val="ad"/>
        <w:numPr>
          <w:ilvl w:val="0"/>
          <w:numId w:val="1"/>
        </w:numPr>
        <w:spacing w:line="360" w:lineRule="auto"/>
        <w:jc w:val="both"/>
        <w:rPr>
          <w:rFonts w:ascii="David" w:hAnsi="David"/>
        </w:rPr>
      </w:pPr>
      <w:r>
        <w:rPr>
          <w:rFonts w:ascii="David" w:hAnsi="David"/>
          <w:rtl/>
        </w:rPr>
        <w:t xml:space="preserve">על פי הסכם מכירה מיום 18.10.17, מכר העורר 1 לעורר 2 את זכויותיו בנכס </w:t>
      </w:r>
      <w:r w:rsidR="009652F5">
        <w:rPr>
          <w:rFonts w:ascii="David" w:hAnsi="David" w:hint="cs"/>
          <w:rtl/>
        </w:rPr>
        <w:t xml:space="preserve">תמורת </w:t>
      </w:r>
      <w:r>
        <w:rPr>
          <w:rFonts w:ascii="David" w:hAnsi="David"/>
          <w:rtl/>
        </w:rPr>
        <w:t xml:space="preserve">3,200,000 </w:t>
      </w:r>
      <w:r w:rsidR="00E86340">
        <w:rPr>
          <w:rFonts w:ascii="David" w:hAnsi="David" w:hint="cs"/>
          <w:rtl/>
        </w:rPr>
        <w:t xml:space="preserve">דולר </w:t>
      </w:r>
      <w:r>
        <w:rPr>
          <w:rFonts w:ascii="David" w:hAnsi="David"/>
          <w:rtl/>
        </w:rPr>
        <w:t>ובהסכם נקבע כי כל המיסים ישולמו</w:t>
      </w:r>
      <w:r w:rsidR="003B7C52">
        <w:rPr>
          <w:rFonts w:ascii="David" w:hAnsi="David" w:hint="cs"/>
          <w:rtl/>
        </w:rPr>
        <w:t xml:space="preserve"> על ידי</w:t>
      </w:r>
      <w:r>
        <w:rPr>
          <w:rFonts w:ascii="David" w:hAnsi="David"/>
          <w:rtl/>
        </w:rPr>
        <w:t xml:space="preserve"> הקונה.</w:t>
      </w:r>
    </w:p>
    <w:p w:rsidR="0005774A" w:rsidRPr="00E86340" w:rsidRDefault="0005774A" w:rsidP="0005774A">
      <w:pPr>
        <w:pStyle w:val="ad"/>
        <w:spacing w:line="360" w:lineRule="auto"/>
        <w:jc w:val="both"/>
        <w:rPr>
          <w:rFonts w:ascii="David" w:hAnsi="David"/>
        </w:rPr>
      </w:pPr>
    </w:p>
    <w:p w:rsidR="0005774A" w:rsidRDefault="0005774A" w:rsidP="003B7C52">
      <w:pPr>
        <w:pStyle w:val="ad"/>
        <w:numPr>
          <w:ilvl w:val="0"/>
          <w:numId w:val="1"/>
        </w:numPr>
        <w:spacing w:line="360" w:lineRule="auto"/>
        <w:jc w:val="both"/>
        <w:rPr>
          <w:rFonts w:ascii="David" w:hAnsi="David"/>
        </w:rPr>
      </w:pPr>
      <w:r>
        <w:rPr>
          <w:rFonts w:ascii="David" w:hAnsi="David"/>
          <w:rtl/>
        </w:rPr>
        <w:t xml:space="preserve">ארגון </w:t>
      </w:r>
      <w:r>
        <w:rPr>
          <w:rFonts w:ascii="David" w:hAnsi="David"/>
        </w:rPr>
        <w:t>PVI</w:t>
      </w:r>
      <w:r>
        <w:rPr>
          <w:rFonts w:ascii="David" w:hAnsi="David"/>
          <w:rtl/>
        </w:rPr>
        <w:t xml:space="preserve"> (להלן: "</w:t>
      </w:r>
      <w:r>
        <w:rPr>
          <w:rFonts w:ascii="David" w:hAnsi="David"/>
          <w:b/>
          <w:bCs/>
          <w:rtl/>
        </w:rPr>
        <w:t>הקונה</w:t>
      </w:r>
      <w:r>
        <w:rPr>
          <w:rFonts w:ascii="David" w:hAnsi="David"/>
          <w:rtl/>
        </w:rPr>
        <w:t xml:space="preserve">") הנו ארגון הרשום בארה"ב כמלכ"ר ומגייס בחו"ל כספי תרומות למען פעילות בישראל. בשנת 1997 נרשמה עמותה ישראלית מקבילה בשם </w:t>
      </w:r>
      <w:r>
        <w:rPr>
          <w:rFonts w:ascii="David" w:hAnsi="David"/>
          <w:noProof w:val="0"/>
          <w:color w:val="000000" w:themeColor="text1"/>
        </w:rPr>
        <w:t>All Nations Convocation Jerusalem</w:t>
      </w:r>
      <w:r w:rsidR="003B7C52">
        <w:rPr>
          <w:rFonts w:ascii="David" w:hAnsi="David" w:hint="cs"/>
          <w:noProof w:val="0"/>
          <w:color w:val="000000" w:themeColor="text1"/>
          <w:rtl/>
        </w:rPr>
        <w:t xml:space="preserve"> (להלן: "</w:t>
      </w:r>
      <w:r w:rsidR="003B7C52" w:rsidRPr="003B7C52">
        <w:rPr>
          <w:rFonts w:ascii="David" w:hAnsi="David" w:hint="cs"/>
          <w:b/>
          <w:bCs/>
          <w:noProof w:val="0"/>
          <w:color w:val="000000" w:themeColor="text1"/>
          <w:rtl/>
        </w:rPr>
        <w:t>העמותה</w:t>
      </w:r>
      <w:r w:rsidR="003B7C52">
        <w:rPr>
          <w:rFonts w:ascii="David" w:hAnsi="David" w:hint="cs"/>
          <w:noProof w:val="0"/>
          <w:color w:val="000000" w:themeColor="text1"/>
          <w:rtl/>
        </w:rPr>
        <w:t>")</w:t>
      </w:r>
      <w:r>
        <w:rPr>
          <w:rFonts w:ascii="David" w:hAnsi="David"/>
          <w:noProof w:val="0"/>
          <w:color w:val="000000" w:themeColor="text1"/>
          <w:rtl/>
        </w:rPr>
        <w:t xml:space="preserve">, שחבריה הם חלק מחברי ארגון </w:t>
      </w:r>
      <w:r>
        <w:rPr>
          <w:rFonts w:ascii="David" w:hAnsi="David"/>
        </w:rPr>
        <w:t>PVI</w:t>
      </w:r>
      <w:r>
        <w:rPr>
          <w:rFonts w:ascii="David" w:hAnsi="David"/>
          <w:rtl/>
        </w:rPr>
        <w:t xml:space="preserve">. </w:t>
      </w:r>
    </w:p>
    <w:p w:rsidR="0005774A" w:rsidRDefault="0005774A" w:rsidP="0005774A">
      <w:pPr>
        <w:pStyle w:val="ad"/>
        <w:spacing w:line="360" w:lineRule="auto"/>
        <w:jc w:val="both"/>
        <w:rPr>
          <w:rFonts w:ascii="David" w:hAnsi="David"/>
        </w:rPr>
      </w:pPr>
    </w:p>
    <w:p w:rsidR="0005774A" w:rsidRDefault="0005774A" w:rsidP="0005774A">
      <w:pPr>
        <w:pStyle w:val="ad"/>
        <w:numPr>
          <w:ilvl w:val="0"/>
          <w:numId w:val="1"/>
        </w:numPr>
        <w:spacing w:line="360" w:lineRule="auto"/>
        <w:jc w:val="both"/>
        <w:rPr>
          <w:rFonts w:ascii="David" w:hAnsi="David"/>
        </w:rPr>
      </w:pPr>
      <w:r>
        <w:rPr>
          <w:rFonts w:ascii="David" w:hAnsi="David"/>
          <w:rtl/>
        </w:rPr>
        <w:t>הבית נשוא הערר, מושכר לעמותה הישראלית משנת 1988 ומשמש לשהיית מתנדבים נוצרים אוהדי ישראל</w:t>
      </w:r>
      <w:r w:rsidR="003B7C52">
        <w:rPr>
          <w:rFonts w:ascii="David" w:hAnsi="David" w:hint="cs"/>
          <w:rtl/>
        </w:rPr>
        <w:t>,</w:t>
      </w:r>
      <w:r>
        <w:rPr>
          <w:rFonts w:ascii="David" w:hAnsi="David"/>
          <w:rtl/>
        </w:rPr>
        <w:t xml:space="preserve"> אשר מתפללים בכותליו לשלום ירושלים ואומות העולם ונוטלים חלק בפרויקט תפילה של 24 שעות ביממה וכן עוסקים בפעילות תמיכה בישראל. </w:t>
      </w:r>
    </w:p>
    <w:p w:rsidR="0005774A" w:rsidRDefault="0005774A" w:rsidP="0005774A">
      <w:pPr>
        <w:spacing w:line="360" w:lineRule="auto"/>
        <w:jc w:val="both"/>
        <w:rPr>
          <w:rFonts w:ascii="David" w:hAnsi="David"/>
          <w:b/>
          <w:bCs/>
          <w:noProof w:val="0"/>
          <w:u w:val="single"/>
        </w:rPr>
      </w:pPr>
    </w:p>
    <w:p w:rsidR="0005774A" w:rsidRDefault="0005774A" w:rsidP="0005774A">
      <w:pPr>
        <w:spacing w:line="360" w:lineRule="auto"/>
        <w:ind w:left="720" w:hanging="720"/>
        <w:jc w:val="both"/>
        <w:rPr>
          <w:rFonts w:ascii="David" w:hAnsi="David"/>
          <w:noProof w:val="0"/>
          <w:rtl/>
        </w:rPr>
      </w:pPr>
      <w:r>
        <w:rPr>
          <w:rFonts w:ascii="David" w:hAnsi="David"/>
          <w:b/>
          <w:bCs/>
          <w:noProof w:val="0"/>
          <w:u w:val="single"/>
          <w:rtl/>
        </w:rPr>
        <w:lastRenderedPageBreak/>
        <w:t>הליכי השומה וההשגה</w:t>
      </w:r>
    </w:p>
    <w:p w:rsidR="0005774A" w:rsidRDefault="0005774A" w:rsidP="0005774A">
      <w:pPr>
        <w:pStyle w:val="ad"/>
        <w:numPr>
          <w:ilvl w:val="0"/>
          <w:numId w:val="1"/>
        </w:numPr>
        <w:spacing w:line="360" w:lineRule="auto"/>
        <w:jc w:val="both"/>
        <w:rPr>
          <w:rFonts w:ascii="David" w:hAnsi="David"/>
          <w:noProof w:val="0"/>
          <w:rtl/>
        </w:rPr>
      </w:pPr>
      <w:r>
        <w:rPr>
          <w:rFonts w:ascii="David" w:hAnsi="David"/>
          <w:noProof w:val="0"/>
          <w:rtl/>
        </w:rPr>
        <w:t xml:space="preserve">ביום 7.3.18 הוגש למשיב דיווח בגין מכירת הבית. </w:t>
      </w:r>
    </w:p>
    <w:p w:rsidR="0005774A" w:rsidRDefault="0005774A" w:rsidP="0005774A">
      <w:pPr>
        <w:pStyle w:val="ad"/>
        <w:spacing w:line="360" w:lineRule="auto"/>
        <w:jc w:val="both"/>
        <w:rPr>
          <w:rFonts w:ascii="David" w:hAnsi="David"/>
          <w:noProof w:val="0"/>
        </w:rPr>
      </w:pPr>
    </w:p>
    <w:p w:rsidR="0005774A" w:rsidRDefault="0005774A" w:rsidP="003B7C52">
      <w:pPr>
        <w:pStyle w:val="ad"/>
        <w:numPr>
          <w:ilvl w:val="0"/>
          <w:numId w:val="1"/>
        </w:numPr>
        <w:spacing w:line="360" w:lineRule="auto"/>
        <w:jc w:val="both"/>
        <w:rPr>
          <w:rFonts w:ascii="David" w:hAnsi="David"/>
          <w:noProof w:val="0"/>
        </w:rPr>
      </w:pPr>
      <w:r>
        <w:rPr>
          <w:rFonts w:ascii="David" w:hAnsi="David"/>
          <w:noProof w:val="0"/>
          <w:rtl/>
        </w:rPr>
        <w:t>שומתו העצמית של העורר 1 נערכה לפי חישוב מס לינ</w:t>
      </w:r>
      <w:r w:rsidR="003B7C52">
        <w:rPr>
          <w:rFonts w:ascii="David" w:hAnsi="David" w:hint="cs"/>
          <w:noProof w:val="0"/>
          <w:rtl/>
        </w:rPr>
        <w:t>י</w:t>
      </w:r>
      <w:r>
        <w:rPr>
          <w:rFonts w:ascii="David" w:hAnsi="David"/>
          <w:noProof w:val="0"/>
          <w:rtl/>
        </w:rPr>
        <w:t xml:space="preserve">ארי מוטב, </w:t>
      </w:r>
      <w:r w:rsidR="003B7C52">
        <w:rPr>
          <w:rFonts w:ascii="David" w:hAnsi="David" w:hint="cs"/>
          <w:noProof w:val="0"/>
          <w:rtl/>
        </w:rPr>
        <w:t>כ</w:t>
      </w:r>
      <w:r>
        <w:rPr>
          <w:rFonts w:ascii="David" w:hAnsi="David"/>
          <w:noProof w:val="0"/>
          <w:rtl/>
        </w:rPr>
        <w:t>דירת מגורים מזכה</w:t>
      </w:r>
      <w:r w:rsidR="003B7C52">
        <w:rPr>
          <w:rFonts w:ascii="David" w:hAnsi="David" w:hint="cs"/>
          <w:noProof w:val="0"/>
          <w:rtl/>
        </w:rPr>
        <w:t>,</w:t>
      </w:r>
      <w:r>
        <w:rPr>
          <w:rFonts w:ascii="David" w:hAnsi="David"/>
          <w:noProof w:val="0"/>
          <w:rtl/>
        </w:rPr>
        <w:t xml:space="preserve"> כהגדרתה בסעיף 49 לחוק. סכום מס השבח לפי שומתו העצמית ולאחר גילום, הינו 202,313 ₪. </w:t>
      </w:r>
    </w:p>
    <w:p w:rsidR="0005774A" w:rsidRDefault="0005774A" w:rsidP="0005774A">
      <w:pPr>
        <w:pStyle w:val="ad"/>
        <w:spacing w:line="360" w:lineRule="auto"/>
        <w:jc w:val="both"/>
        <w:rPr>
          <w:rFonts w:ascii="David" w:hAnsi="David"/>
          <w:noProof w:val="0"/>
        </w:rPr>
      </w:pPr>
    </w:p>
    <w:p w:rsidR="0005774A" w:rsidRDefault="0005774A" w:rsidP="003B7C52">
      <w:pPr>
        <w:pStyle w:val="ad"/>
        <w:numPr>
          <w:ilvl w:val="0"/>
          <w:numId w:val="1"/>
        </w:numPr>
        <w:spacing w:line="360" w:lineRule="auto"/>
        <w:jc w:val="both"/>
        <w:rPr>
          <w:rFonts w:ascii="David" w:hAnsi="David"/>
          <w:noProof w:val="0"/>
        </w:rPr>
      </w:pPr>
      <w:r>
        <w:rPr>
          <w:rFonts w:ascii="David" w:hAnsi="David"/>
          <w:noProof w:val="0"/>
          <w:rtl/>
        </w:rPr>
        <w:t xml:space="preserve">שומתו העצמית של </w:t>
      </w:r>
      <w:r w:rsidR="003B7C52">
        <w:rPr>
          <w:rFonts w:ascii="David" w:hAnsi="David" w:hint="cs"/>
          <w:noProof w:val="0"/>
          <w:rtl/>
        </w:rPr>
        <w:t xml:space="preserve">הקונה </w:t>
      </w:r>
      <w:r>
        <w:rPr>
          <w:rFonts w:ascii="David" w:hAnsi="David"/>
          <w:noProof w:val="0"/>
          <w:rtl/>
        </w:rPr>
        <w:t>נערכה לפי חישוב מס רכישה לדירת מגורים</w:t>
      </w:r>
      <w:r w:rsidR="003B7C52">
        <w:rPr>
          <w:rFonts w:ascii="David" w:hAnsi="David" w:hint="cs"/>
          <w:noProof w:val="0"/>
          <w:rtl/>
        </w:rPr>
        <w:t>,</w:t>
      </w:r>
      <w:r>
        <w:rPr>
          <w:rFonts w:ascii="David" w:hAnsi="David"/>
          <w:noProof w:val="0"/>
          <w:rtl/>
        </w:rPr>
        <w:t xml:space="preserve"> לפי סעיף 9(ג1ה) לחוק. סכום מס הרכישה לפי שומתו העצמית של הקונה ולאחר גילום, הינו 1,045,363 ₪. </w:t>
      </w:r>
    </w:p>
    <w:p w:rsidR="0005774A" w:rsidRDefault="0005774A" w:rsidP="0005774A">
      <w:pPr>
        <w:pStyle w:val="ad"/>
        <w:spacing w:line="360" w:lineRule="auto"/>
        <w:jc w:val="both"/>
        <w:rPr>
          <w:rFonts w:ascii="David" w:hAnsi="David"/>
          <w:noProof w:val="0"/>
        </w:rPr>
      </w:pPr>
    </w:p>
    <w:p w:rsidR="0005774A" w:rsidRDefault="0005774A" w:rsidP="0005774A">
      <w:pPr>
        <w:pStyle w:val="ad"/>
        <w:numPr>
          <w:ilvl w:val="0"/>
          <w:numId w:val="1"/>
        </w:numPr>
        <w:spacing w:line="360" w:lineRule="auto"/>
        <w:jc w:val="both"/>
        <w:rPr>
          <w:rFonts w:ascii="David" w:hAnsi="David"/>
          <w:noProof w:val="0"/>
        </w:rPr>
      </w:pPr>
      <w:r>
        <w:rPr>
          <w:rFonts w:ascii="David" w:hAnsi="David"/>
          <w:noProof w:val="0"/>
          <w:rtl/>
        </w:rPr>
        <w:t xml:space="preserve">השומה העצמית נדחתה על ידי המשיב, ולאחר חילופי מסמכים בין העוררים לבין המשיב, יצאה שומה לפי מיטב השפיטה. המשיב קבע כי המבנה </w:t>
      </w:r>
      <w:r w:rsidR="003B7C52">
        <w:rPr>
          <w:rFonts w:ascii="David" w:hAnsi="David" w:hint="cs"/>
          <w:noProof w:val="0"/>
          <w:rtl/>
        </w:rPr>
        <w:t xml:space="preserve">הינו </w:t>
      </w:r>
      <w:r>
        <w:rPr>
          <w:rFonts w:ascii="David" w:hAnsi="David"/>
          <w:noProof w:val="0"/>
          <w:rtl/>
        </w:rPr>
        <w:t>בעל אופי מוסדי, המשמש משכנה של עמותה במשך שנים ארוכות, ולפיכך המוכר אינו זכאי לחישוב מס שבח לינ</w:t>
      </w:r>
      <w:r w:rsidR="003B7C52">
        <w:rPr>
          <w:rFonts w:ascii="David" w:hAnsi="David" w:hint="cs"/>
          <w:noProof w:val="0"/>
          <w:rtl/>
        </w:rPr>
        <w:t>י</w:t>
      </w:r>
      <w:r>
        <w:rPr>
          <w:rFonts w:ascii="David" w:hAnsi="David"/>
          <w:noProof w:val="0"/>
          <w:rtl/>
        </w:rPr>
        <w:t xml:space="preserve">ארי מכוח סעיף 48א(ב2) לחוק. </w:t>
      </w:r>
    </w:p>
    <w:p w:rsidR="0005774A" w:rsidRDefault="0005774A" w:rsidP="0005774A">
      <w:pPr>
        <w:pStyle w:val="ad"/>
        <w:spacing w:line="360" w:lineRule="auto"/>
        <w:jc w:val="both"/>
        <w:rPr>
          <w:rFonts w:ascii="David" w:hAnsi="David"/>
          <w:noProof w:val="0"/>
        </w:rPr>
      </w:pPr>
    </w:p>
    <w:p w:rsidR="00F5363A" w:rsidRDefault="009652F5" w:rsidP="00E86340">
      <w:pPr>
        <w:pStyle w:val="ad"/>
        <w:numPr>
          <w:ilvl w:val="0"/>
          <w:numId w:val="1"/>
        </w:numPr>
        <w:spacing w:line="360" w:lineRule="auto"/>
        <w:jc w:val="both"/>
        <w:rPr>
          <w:rFonts w:ascii="David" w:hAnsi="David"/>
          <w:noProof w:val="0"/>
        </w:rPr>
      </w:pPr>
      <w:r w:rsidRPr="009652F5">
        <w:rPr>
          <w:rFonts w:ascii="David" w:hAnsi="David"/>
          <w:noProof w:val="0"/>
          <w:rtl/>
        </w:rPr>
        <w:t xml:space="preserve">ביום 6.9.20 ניתנה החלטת המשיב </w:t>
      </w:r>
      <w:r w:rsidRPr="009652F5">
        <w:rPr>
          <w:rFonts w:ascii="David" w:hAnsi="David" w:hint="cs"/>
          <w:noProof w:val="0"/>
          <w:rtl/>
        </w:rPr>
        <w:t>בהשגה</w:t>
      </w:r>
      <w:r w:rsidRPr="009652F5">
        <w:rPr>
          <w:rFonts w:ascii="David" w:hAnsi="David"/>
          <w:noProof w:val="0"/>
          <w:rtl/>
        </w:rPr>
        <w:t xml:space="preserve">, </w:t>
      </w:r>
      <w:r w:rsidRPr="009652F5">
        <w:rPr>
          <w:rFonts w:ascii="David" w:hAnsi="David" w:hint="cs"/>
          <w:noProof w:val="0"/>
          <w:rtl/>
        </w:rPr>
        <w:t xml:space="preserve">בגדרה נדחו </w:t>
      </w:r>
      <w:r w:rsidRPr="009652F5">
        <w:rPr>
          <w:rFonts w:ascii="David" w:hAnsi="David"/>
          <w:noProof w:val="0"/>
          <w:rtl/>
        </w:rPr>
        <w:t xml:space="preserve">טענות העוררים בהשגה. בהחלטת המשיב </w:t>
      </w:r>
      <w:r w:rsidRPr="009652F5">
        <w:rPr>
          <w:rFonts w:ascii="David" w:hAnsi="David" w:hint="cs"/>
          <w:noProof w:val="0"/>
          <w:rtl/>
        </w:rPr>
        <w:t xml:space="preserve">נקבע </w:t>
      </w:r>
      <w:r w:rsidRPr="009652F5">
        <w:rPr>
          <w:rFonts w:ascii="David" w:hAnsi="David"/>
          <w:noProof w:val="0"/>
          <w:rtl/>
        </w:rPr>
        <w:t xml:space="preserve">כי לפנים משורת הדין </w:t>
      </w:r>
      <w:r w:rsidR="00F5363A">
        <w:rPr>
          <w:rFonts w:ascii="David" w:hAnsi="David" w:hint="cs"/>
          <w:noProof w:val="0"/>
          <w:rtl/>
        </w:rPr>
        <w:t xml:space="preserve">תיוחס  </w:t>
      </w:r>
    </w:p>
    <w:p w:rsidR="00F5363A" w:rsidRPr="00F5363A" w:rsidRDefault="00F5363A" w:rsidP="00F5363A">
      <w:pPr>
        <w:pStyle w:val="ad"/>
        <w:rPr>
          <w:rFonts w:ascii="David" w:hAnsi="David"/>
          <w:noProof w:val="0"/>
          <w:rtl/>
        </w:rPr>
      </w:pPr>
    </w:p>
    <w:p w:rsidR="0005774A" w:rsidRDefault="00F5363A" w:rsidP="00E86340">
      <w:pPr>
        <w:pStyle w:val="ad"/>
        <w:numPr>
          <w:ilvl w:val="0"/>
          <w:numId w:val="1"/>
        </w:numPr>
        <w:spacing w:line="360" w:lineRule="auto"/>
        <w:jc w:val="both"/>
        <w:rPr>
          <w:rFonts w:ascii="David" w:hAnsi="David"/>
          <w:noProof w:val="0"/>
        </w:rPr>
      </w:pPr>
      <w:r>
        <w:rPr>
          <w:rFonts w:ascii="David" w:hAnsi="David" w:hint="cs"/>
          <w:noProof w:val="0"/>
          <w:rtl/>
        </w:rPr>
        <w:t xml:space="preserve"> </w:t>
      </w:r>
      <w:r w:rsidR="009652F5">
        <w:rPr>
          <w:rFonts w:ascii="David" w:hAnsi="David" w:hint="cs"/>
          <w:noProof w:val="0"/>
          <w:rtl/>
        </w:rPr>
        <w:t xml:space="preserve">מחצית התמורה בעסקה ליעוד של בית תפילה, לאור המצאות אולם תפילה במפלס העליון של המבנה והמחצית הנוספת של התמורה </w:t>
      </w:r>
      <w:r w:rsidR="006A0B2D">
        <w:rPr>
          <w:rFonts w:ascii="David" w:hAnsi="David" w:hint="cs"/>
          <w:noProof w:val="0"/>
          <w:rtl/>
        </w:rPr>
        <w:t xml:space="preserve"> תמוסה </w:t>
      </w:r>
      <w:r w:rsidR="009652F5">
        <w:rPr>
          <w:rFonts w:ascii="David" w:hAnsi="David" w:hint="cs"/>
          <w:noProof w:val="0"/>
          <w:rtl/>
        </w:rPr>
        <w:t>בחישוב מס שבח רגיל לפי יעוד של בני</w:t>
      </w:r>
      <w:r w:rsidR="006A0B2D">
        <w:rPr>
          <w:rFonts w:ascii="David" w:hAnsi="David" w:hint="cs"/>
          <w:noProof w:val="0"/>
          <w:rtl/>
        </w:rPr>
        <w:t>י</w:t>
      </w:r>
      <w:r w:rsidR="009652F5">
        <w:rPr>
          <w:rFonts w:ascii="David" w:hAnsi="David" w:hint="cs"/>
          <w:noProof w:val="0"/>
          <w:rtl/>
        </w:rPr>
        <w:t>ן.</w:t>
      </w:r>
    </w:p>
    <w:p w:rsidR="009652F5" w:rsidRPr="00E86340" w:rsidRDefault="009652F5" w:rsidP="009652F5">
      <w:pPr>
        <w:pStyle w:val="ad"/>
        <w:rPr>
          <w:rFonts w:ascii="David" w:hAnsi="David"/>
          <w:noProof w:val="0"/>
          <w:rtl/>
        </w:rPr>
      </w:pPr>
    </w:p>
    <w:p w:rsidR="0005774A" w:rsidRDefault="0005774A" w:rsidP="003B7C52">
      <w:pPr>
        <w:pStyle w:val="ad"/>
        <w:numPr>
          <w:ilvl w:val="0"/>
          <w:numId w:val="1"/>
        </w:numPr>
        <w:spacing w:line="360" w:lineRule="auto"/>
        <w:jc w:val="both"/>
        <w:rPr>
          <w:rFonts w:ascii="David" w:hAnsi="David"/>
          <w:noProof w:val="0"/>
        </w:rPr>
      </w:pPr>
      <w:r>
        <w:rPr>
          <w:rFonts w:ascii="David" w:hAnsi="David"/>
          <w:noProof w:val="0"/>
          <w:rtl/>
        </w:rPr>
        <w:t xml:space="preserve">על החלטה זאת הוגש ערר ביום 18.10.20. ביום 24.1.21 תוקנה השומה האמורה, ותחתיה </w:t>
      </w:r>
      <w:r w:rsidR="003B7C52">
        <w:rPr>
          <w:rFonts w:ascii="David" w:hAnsi="David" w:hint="cs"/>
          <w:noProof w:val="0"/>
          <w:rtl/>
        </w:rPr>
        <w:t xml:space="preserve">נקבעה </w:t>
      </w:r>
      <w:r>
        <w:rPr>
          <w:rFonts w:ascii="David" w:hAnsi="David"/>
          <w:noProof w:val="0"/>
          <w:rtl/>
        </w:rPr>
        <w:t xml:space="preserve">שומה מתוקנת, היא העומדת בלב הערר המתוקן. </w:t>
      </w:r>
    </w:p>
    <w:p w:rsidR="0005774A" w:rsidRPr="003B7C52" w:rsidRDefault="0005774A" w:rsidP="0005774A">
      <w:pPr>
        <w:pStyle w:val="ad"/>
        <w:spacing w:line="360" w:lineRule="auto"/>
        <w:jc w:val="both"/>
        <w:rPr>
          <w:rFonts w:ascii="David" w:hAnsi="David"/>
          <w:noProof w:val="0"/>
        </w:rPr>
      </w:pPr>
    </w:p>
    <w:p w:rsidR="0005774A" w:rsidRDefault="00702B51" w:rsidP="00702B51">
      <w:pPr>
        <w:pStyle w:val="ad"/>
        <w:numPr>
          <w:ilvl w:val="0"/>
          <w:numId w:val="1"/>
        </w:numPr>
        <w:spacing w:line="360" w:lineRule="auto"/>
        <w:jc w:val="both"/>
        <w:rPr>
          <w:rFonts w:ascii="David" w:hAnsi="David"/>
          <w:noProof w:val="0"/>
        </w:rPr>
      </w:pPr>
      <w:r>
        <w:rPr>
          <w:rFonts w:ascii="David" w:hAnsi="David" w:hint="cs"/>
          <w:noProof w:val="0"/>
          <w:rtl/>
        </w:rPr>
        <w:t>בשומה המתוקנת קבע המשיב כי לאור ממצאים חדשים שנתגלו, נפל</w:t>
      </w:r>
      <w:r w:rsidR="006A0B2D">
        <w:rPr>
          <w:rFonts w:ascii="David" w:hAnsi="David" w:hint="cs"/>
          <w:noProof w:val="0"/>
          <w:rtl/>
        </w:rPr>
        <w:t>ה טעות משפטית בשלב ההשגה ועל כן</w:t>
      </w:r>
      <w:r>
        <w:rPr>
          <w:rFonts w:ascii="David" w:hAnsi="David" w:hint="cs"/>
          <w:noProof w:val="0"/>
          <w:rtl/>
        </w:rPr>
        <w:t xml:space="preserve"> תוקנו השומות.</w:t>
      </w:r>
    </w:p>
    <w:p w:rsidR="0005774A" w:rsidRPr="00702B51" w:rsidRDefault="0005774A" w:rsidP="0005774A">
      <w:pPr>
        <w:pStyle w:val="ad"/>
        <w:spacing w:line="360" w:lineRule="auto"/>
        <w:jc w:val="both"/>
        <w:rPr>
          <w:rFonts w:ascii="David" w:hAnsi="David"/>
          <w:noProof w:val="0"/>
        </w:rPr>
      </w:pPr>
    </w:p>
    <w:p w:rsidR="0005774A" w:rsidRDefault="00702B51" w:rsidP="004328CD">
      <w:pPr>
        <w:pStyle w:val="ad"/>
        <w:numPr>
          <w:ilvl w:val="0"/>
          <w:numId w:val="1"/>
        </w:numPr>
        <w:spacing w:line="360" w:lineRule="auto"/>
        <w:jc w:val="both"/>
        <w:rPr>
          <w:rFonts w:ascii="David" w:hAnsi="David"/>
          <w:noProof w:val="0"/>
        </w:rPr>
      </w:pPr>
      <w:r w:rsidRPr="00702B51">
        <w:rPr>
          <w:rFonts w:ascii="David" w:hAnsi="David" w:hint="cs"/>
          <w:noProof w:val="0"/>
          <w:rtl/>
        </w:rPr>
        <w:t>המשיב קבע כי יש לאחד את שתי השומות ולקבוע את מס השבח בחיוב מלא ובגילום מלא,  לפי שווי</w:t>
      </w:r>
      <w:r>
        <w:rPr>
          <w:rFonts w:ascii="David" w:hAnsi="David" w:hint="cs"/>
          <w:noProof w:val="0"/>
          <w:rtl/>
        </w:rPr>
        <w:t xml:space="preserve"> מכירה של 11,447,113 ₪. כמו כן, תוקנה שומת מס רכישה, לאחר גילום מלא ונקבע שווי למס רכישה על סך 18,907,701 ₪, והמס חושב לפי שיעור של 6% (כבניין).</w:t>
      </w:r>
    </w:p>
    <w:p w:rsidR="00702B51" w:rsidRPr="00702B51" w:rsidRDefault="00702B51" w:rsidP="00702B51">
      <w:pPr>
        <w:pStyle w:val="ad"/>
        <w:spacing w:line="360" w:lineRule="auto"/>
        <w:jc w:val="both"/>
        <w:rPr>
          <w:rFonts w:ascii="David" w:hAnsi="David"/>
          <w:noProof w:val="0"/>
        </w:rPr>
      </w:pPr>
    </w:p>
    <w:p w:rsidR="0005774A" w:rsidRDefault="0005774A" w:rsidP="0005774A">
      <w:pPr>
        <w:spacing w:line="360" w:lineRule="auto"/>
        <w:ind w:left="720" w:hanging="720"/>
        <w:jc w:val="both"/>
        <w:rPr>
          <w:rFonts w:ascii="David" w:hAnsi="David"/>
          <w:noProof w:val="0"/>
          <w:rtl/>
        </w:rPr>
      </w:pPr>
      <w:r>
        <w:rPr>
          <w:rFonts w:ascii="David" w:hAnsi="David"/>
          <w:b/>
          <w:bCs/>
          <w:noProof w:val="0"/>
          <w:u w:val="single"/>
          <w:rtl/>
        </w:rPr>
        <w:t>תמצית טענות העוררים</w:t>
      </w:r>
    </w:p>
    <w:p w:rsidR="0005774A" w:rsidRDefault="003B7C52" w:rsidP="0005774A">
      <w:pPr>
        <w:pStyle w:val="ad"/>
        <w:numPr>
          <w:ilvl w:val="0"/>
          <w:numId w:val="1"/>
        </w:numPr>
        <w:spacing w:line="360" w:lineRule="auto"/>
        <w:jc w:val="both"/>
        <w:rPr>
          <w:rFonts w:ascii="David" w:hAnsi="David"/>
          <w:noProof w:val="0"/>
          <w:rtl/>
        </w:rPr>
      </w:pPr>
      <w:r>
        <w:rPr>
          <w:rFonts w:ascii="David" w:hAnsi="David"/>
          <w:noProof w:val="0"/>
          <w:rtl/>
        </w:rPr>
        <w:t xml:space="preserve">לטענת העוררים, </w:t>
      </w:r>
      <w:r w:rsidR="0005774A">
        <w:rPr>
          <w:rFonts w:ascii="David" w:hAnsi="David"/>
          <w:noProof w:val="0"/>
          <w:rtl/>
        </w:rPr>
        <w:t xml:space="preserve">הבית </w:t>
      </w:r>
      <w:r>
        <w:rPr>
          <w:rFonts w:ascii="David" w:hAnsi="David" w:hint="cs"/>
          <w:noProof w:val="0"/>
          <w:rtl/>
        </w:rPr>
        <w:t xml:space="preserve">נכנס </w:t>
      </w:r>
      <w:r w:rsidR="0005774A">
        <w:rPr>
          <w:rFonts w:ascii="David" w:hAnsi="David"/>
          <w:noProof w:val="0"/>
          <w:rtl/>
        </w:rPr>
        <w:t>תחת הגדרת "דירת מגורים" והגדרת "דירת מגורים מזכה", כך שמס השבח המתחייב מן העסקה צריך להיות מחושב על פי החישוב הלינ</w:t>
      </w:r>
      <w:r>
        <w:rPr>
          <w:rFonts w:ascii="David" w:hAnsi="David" w:hint="cs"/>
          <w:noProof w:val="0"/>
          <w:rtl/>
        </w:rPr>
        <w:t>י</w:t>
      </w:r>
      <w:r w:rsidR="0005774A">
        <w:rPr>
          <w:rFonts w:ascii="David" w:hAnsi="David"/>
          <w:noProof w:val="0"/>
          <w:rtl/>
        </w:rPr>
        <w:t xml:space="preserve">ארי הקבוע בסעיף 48א(ב2) לחוק מיסוי מקרקעין. </w:t>
      </w:r>
    </w:p>
    <w:p w:rsidR="0005774A" w:rsidRDefault="0005774A" w:rsidP="0005774A">
      <w:pPr>
        <w:pStyle w:val="ad"/>
        <w:spacing w:line="360" w:lineRule="auto"/>
        <w:jc w:val="both"/>
        <w:rPr>
          <w:rFonts w:ascii="David" w:hAnsi="David"/>
          <w:noProof w:val="0"/>
        </w:rPr>
      </w:pPr>
    </w:p>
    <w:p w:rsidR="0005774A" w:rsidRDefault="0005774A" w:rsidP="009370DC">
      <w:pPr>
        <w:pStyle w:val="ad"/>
        <w:numPr>
          <w:ilvl w:val="0"/>
          <w:numId w:val="1"/>
        </w:numPr>
        <w:spacing w:line="360" w:lineRule="auto"/>
        <w:jc w:val="both"/>
        <w:rPr>
          <w:rFonts w:ascii="David" w:hAnsi="David"/>
          <w:noProof w:val="0"/>
        </w:rPr>
      </w:pPr>
      <w:r>
        <w:rPr>
          <w:rFonts w:ascii="David" w:hAnsi="David"/>
          <w:noProof w:val="0"/>
          <w:rtl/>
        </w:rPr>
        <w:lastRenderedPageBreak/>
        <w:t>לטענת העוררים, הארגון מקיים טקסי תפילה למען ישראל על ידי עשרות מתנדבים ששוהים בבית במשך שנים ומקיימים את התפילה במשך 24 שעות ביממה. פעילותו הענפה של הארגון ידועה ומוערכת על ידי גורמים</w:t>
      </w:r>
      <w:r w:rsidR="006A0B2D">
        <w:rPr>
          <w:rFonts w:ascii="David" w:hAnsi="David"/>
          <w:noProof w:val="0"/>
          <w:rtl/>
        </w:rPr>
        <w:t xml:space="preserve"> רבים במדינה ומוערכת אף על ידי </w:t>
      </w:r>
      <w:r>
        <w:rPr>
          <w:rFonts w:ascii="David" w:hAnsi="David"/>
          <w:noProof w:val="0"/>
          <w:rtl/>
        </w:rPr>
        <w:t>המשיב עצמו</w:t>
      </w:r>
      <w:r w:rsidR="006A0B2D">
        <w:rPr>
          <w:rFonts w:ascii="David" w:hAnsi="David" w:hint="cs"/>
          <w:noProof w:val="0"/>
          <w:rtl/>
        </w:rPr>
        <w:t>,</w:t>
      </w:r>
      <w:r>
        <w:rPr>
          <w:rFonts w:ascii="David" w:hAnsi="David"/>
          <w:noProof w:val="0"/>
          <w:rtl/>
        </w:rPr>
        <w:t xml:space="preserve"> כעולה </w:t>
      </w:r>
      <w:r w:rsidR="009370DC">
        <w:rPr>
          <w:rFonts w:ascii="David" w:hAnsi="David" w:hint="cs"/>
          <w:noProof w:val="0"/>
          <w:rtl/>
        </w:rPr>
        <w:t>מהחלטתו בהשגה.</w:t>
      </w:r>
    </w:p>
    <w:p w:rsidR="0005774A" w:rsidRPr="009370DC" w:rsidRDefault="0005774A" w:rsidP="0005774A">
      <w:pPr>
        <w:pStyle w:val="ad"/>
        <w:spacing w:line="360" w:lineRule="auto"/>
        <w:jc w:val="both"/>
        <w:rPr>
          <w:rFonts w:ascii="David" w:hAnsi="David"/>
          <w:noProof w:val="0"/>
        </w:rPr>
      </w:pPr>
    </w:p>
    <w:p w:rsidR="0005774A" w:rsidRDefault="0005774A" w:rsidP="009370DC">
      <w:pPr>
        <w:pStyle w:val="ad"/>
        <w:numPr>
          <w:ilvl w:val="0"/>
          <w:numId w:val="1"/>
        </w:numPr>
        <w:spacing w:line="360" w:lineRule="auto"/>
        <w:jc w:val="both"/>
        <w:rPr>
          <w:rFonts w:ascii="David" w:hAnsi="David"/>
          <w:noProof w:val="0"/>
        </w:rPr>
      </w:pPr>
      <w:r>
        <w:rPr>
          <w:rFonts w:ascii="David" w:hAnsi="David"/>
          <w:noProof w:val="0"/>
          <w:rtl/>
        </w:rPr>
        <w:t>כך טוענים העוררים כי בשל תורנ</w:t>
      </w:r>
      <w:r w:rsidR="009370DC">
        <w:rPr>
          <w:rFonts w:ascii="David" w:hAnsi="David" w:hint="cs"/>
          <w:noProof w:val="0"/>
          <w:rtl/>
        </w:rPr>
        <w:t>ו</w:t>
      </w:r>
      <w:r>
        <w:rPr>
          <w:rFonts w:ascii="David" w:hAnsi="David"/>
          <w:noProof w:val="0"/>
          <w:rtl/>
        </w:rPr>
        <w:t xml:space="preserve">יות התפילה שמתקיימות במשך כל היממה, המתנדבים חייבים ללון בבית עצמו. מתנדבים אלו מתגוררים בבית במשך שנים באמצעות אשרה ייעודית לפעילות הארגון לשהייה ממושכת בארץ, ואינם מגיעים ארצה באמצעות אשרות תייר קצרות. בנוסף, המתנדבים מתגוררים בבית מבלי שידרשו לשלם תמורה כלשהיא. </w:t>
      </w:r>
    </w:p>
    <w:p w:rsidR="0005774A" w:rsidRDefault="0005774A" w:rsidP="0005774A">
      <w:pPr>
        <w:pStyle w:val="ad"/>
        <w:spacing w:line="360" w:lineRule="auto"/>
        <w:jc w:val="both"/>
        <w:rPr>
          <w:rFonts w:ascii="David" w:hAnsi="David"/>
          <w:noProof w:val="0"/>
        </w:rPr>
      </w:pPr>
    </w:p>
    <w:p w:rsidR="0005774A" w:rsidRDefault="0005774A" w:rsidP="0005774A">
      <w:pPr>
        <w:pStyle w:val="ad"/>
        <w:numPr>
          <w:ilvl w:val="0"/>
          <w:numId w:val="1"/>
        </w:numPr>
        <w:spacing w:line="360" w:lineRule="auto"/>
        <w:jc w:val="both"/>
        <w:rPr>
          <w:rFonts w:ascii="David" w:hAnsi="David"/>
          <w:noProof w:val="0"/>
        </w:rPr>
      </w:pPr>
      <w:r>
        <w:rPr>
          <w:rFonts w:ascii="David" w:hAnsi="David"/>
          <w:noProof w:val="0"/>
          <w:rtl/>
        </w:rPr>
        <w:t>בניגוד להחלטת המשיב, טענו העוררים כי בבית קיימים כל המאפיינים של דירת מגורים: סלון, מטבח ופינת אוכל. המטבח הקיים בבית הינו אופייני לבית מגורים ולא בעל מאפיינים תעשייתיים. כמו כן</w:t>
      </w:r>
      <w:r w:rsidR="009370DC">
        <w:rPr>
          <w:rFonts w:ascii="David" w:hAnsi="David" w:hint="cs"/>
          <w:noProof w:val="0"/>
          <w:rtl/>
        </w:rPr>
        <w:t>,</w:t>
      </w:r>
      <w:r>
        <w:rPr>
          <w:rFonts w:ascii="David" w:hAnsi="David"/>
          <w:noProof w:val="0"/>
          <w:rtl/>
        </w:rPr>
        <w:t xml:space="preserve"> ישנם חדרי שינה ורחצה, חדר כביסה ועמדות מחשב אשר משמשות את המתנדבים לפעילות טכנית ותקשורת אישית עם משפחתם בחו"ל.</w:t>
      </w:r>
    </w:p>
    <w:p w:rsidR="0005774A" w:rsidRDefault="0005774A" w:rsidP="0005774A">
      <w:pPr>
        <w:pStyle w:val="ad"/>
        <w:spacing w:line="360" w:lineRule="auto"/>
        <w:jc w:val="both"/>
        <w:rPr>
          <w:rFonts w:ascii="David" w:hAnsi="David"/>
          <w:noProof w:val="0"/>
        </w:rPr>
      </w:pPr>
    </w:p>
    <w:p w:rsidR="0005774A" w:rsidRDefault="0005774A" w:rsidP="0005774A">
      <w:pPr>
        <w:pStyle w:val="ad"/>
        <w:numPr>
          <w:ilvl w:val="0"/>
          <w:numId w:val="1"/>
        </w:numPr>
        <w:spacing w:line="360" w:lineRule="auto"/>
        <w:jc w:val="both"/>
        <w:rPr>
          <w:rFonts w:ascii="David" w:hAnsi="David"/>
          <w:noProof w:val="0"/>
        </w:rPr>
      </w:pPr>
      <w:r>
        <w:rPr>
          <w:rFonts w:ascii="David" w:hAnsi="David"/>
          <w:noProof w:val="0"/>
          <w:rtl/>
        </w:rPr>
        <w:t>העוררים טוענים כי המשיב פעל שלא בסמכות ובאופן החורג מהוראות סעיף 85 לחוק, המאפשר תיקונה של שומה, כאשר לאחר שכבר ניתנה החלטה בהשגה, ובעת שהערר תלוי ועומד, הוצאה שומה מתוקנת על ידו.</w:t>
      </w:r>
    </w:p>
    <w:p w:rsidR="0005774A" w:rsidRDefault="0005774A" w:rsidP="0005774A">
      <w:pPr>
        <w:pStyle w:val="ad"/>
        <w:spacing w:line="360" w:lineRule="auto"/>
        <w:jc w:val="both"/>
        <w:rPr>
          <w:rFonts w:ascii="David" w:hAnsi="David"/>
          <w:noProof w:val="0"/>
        </w:rPr>
      </w:pPr>
    </w:p>
    <w:p w:rsidR="0005774A" w:rsidRDefault="0005774A" w:rsidP="0005774A">
      <w:pPr>
        <w:pStyle w:val="ad"/>
        <w:numPr>
          <w:ilvl w:val="0"/>
          <w:numId w:val="1"/>
        </w:numPr>
        <w:spacing w:line="360" w:lineRule="auto"/>
        <w:jc w:val="both"/>
        <w:rPr>
          <w:rFonts w:ascii="David" w:hAnsi="David"/>
          <w:noProof w:val="0"/>
        </w:rPr>
      </w:pPr>
      <w:r>
        <w:rPr>
          <w:rFonts w:ascii="David" w:hAnsi="David"/>
          <w:noProof w:val="0"/>
          <w:rtl/>
        </w:rPr>
        <w:t xml:space="preserve">לטענת העוררים, חוסר העקביות בהחלטה ואופן ההתנהלות מעלה תהיה כי השומות יצאו לשם גבית מס מקסימלי תוך התעלמות מעיקרון מס אמת. </w:t>
      </w:r>
    </w:p>
    <w:p w:rsidR="0005774A" w:rsidRDefault="0005774A" w:rsidP="0005774A">
      <w:pPr>
        <w:pStyle w:val="ad"/>
        <w:spacing w:line="360" w:lineRule="auto"/>
        <w:jc w:val="both"/>
        <w:rPr>
          <w:rFonts w:ascii="David" w:hAnsi="David"/>
          <w:noProof w:val="0"/>
        </w:rPr>
      </w:pPr>
    </w:p>
    <w:p w:rsidR="0005774A" w:rsidRDefault="0005774A" w:rsidP="0005774A">
      <w:pPr>
        <w:spacing w:line="360" w:lineRule="auto"/>
        <w:ind w:left="720" w:hanging="720"/>
        <w:jc w:val="both"/>
        <w:rPr>
          <w:rFonts w:ascii="David" w:hAnsi="David"/>
          <w:noProof w:val="0"/>
          <w:rtl/>
        </w:rPr>
      </w:pPr>
      <w:r>
        <w:rPr>
          <w:rFonts w:ascii="David" w:hAnsi="David"/>
          <w:b/>
          <w:bCs/>
          <w:noProof w:val="0"/>
          <w:u w:val="single"/>
          <w:rtl/>
        </w:rPr>
        <w:t>תמצית טענות המשיב</w:t>
      </w:r>
      <w:r>
        <w:rPr>
          <w:rFonts w:ascii="David" w:hAnsi="David"/>
          <w:noProof w:val="0"/>
          <w:rtl/>
        </w:rPr>
        <w:t xml:space="preserve"> </w:t>
      </w:r>
    </w:p>
    <w:p w:rsidR="0005774A" w:rsidRDefault="0005774A" w:rsidP="009370DC">
      <w:pPr>
        <w:pStyle w:val="ad"/>
        <w:numPr>
          <w:ilvl w:val="0"/>
          <w:numId w:val="1"/>
        </w:numPr>
        <w:spacing w:line="360" w:lineRule="auto"/>
        <w:jc w:val="both"/>
        <w:rPr>
          <w:rFonts w:ascii="David" w:hAnsi="David"/>
          <w:noProof w:val="0"/>
          <w:rtl/>
        </w:rPr>
      </w:pPr>
      <w:r>
        <w:rPr>
          <w:rFonts w:ascii="David" w:hAnsi="David"/>
          <w:noProof w:val="0"/>
          <w:rtl/>
        </w:rPr>
        <w:t>לטענת המשיב, הנכס הנמכר אינה מהווה "דירת מגורים", וגם לא "דירת מגורים מזכה", כמשמעות מונחים אלה בחוק. זאת הן בשל ההיבטים הפיזיים של הדירה</w:t>
      </w:r>
      <w:r w:rsidR="009370DC">
        <w:rPr>
          <w:rFonts w:ascii="David" w:hAnsi="David" w:hint="cs"/>
          <w:noProof w:val="0"/>
          <w:rtl/>
        </w:rPr>
        <w:t>,</w:t>
      </w:r>
      <w:r>
        <w:rPr>
          <w:rFonts w:ascii="David" w:hAnsi="David"/>
          <w:noProof w:val="0"/>
          <w:rtl/>
        </w:rPr>
        <w:t xml:space="preserve"> אשר אינם מאפיינים דירת מגורים, והן בשל דרישת ה"מגורים" כפי שעוצבה בפסיקה אשר אינה  מתקיימת בנסיבותיו של המקרה הנוכחי, גם בהתעלם מנתוניו הפיזיים של הנכס.</w:t>
      </w:r>
    </w:p>
    <w:p w:rsidR="0005774A" w:rsidRDefault="0005774A" w:rsidP="0005774A">
      <w:pPr>
        <w:pStyle w:val="ad"/>
        <w:spacing w:line="360" w:lineRule="auto"/>
        <w:jc w:val="both"/>
        <w:rPr>
          <w:rFonts w:ascii="David" w:hAnsi="David"/>
          <w:noProof w:val="0"/>
        </w:rPr>
      </w:pPr>
    </w:p>
    <w:p w:rsidR="0005774A" w:rsidRDefault="0005774A" w:rsidP="00010424">
      <w:pPr>
        <w:pStyle w:val="ad"/>
        <w:numPr>
          <w:ilvl w:val="0"/>
          <w:numId w:val="1"/>
        </w:numPr>
        <w:spacing w:line="360" w:lineRule="auto"/>
        <w:jc w:val="both"/>
        <w:rPr>
          <w:rFonts w:ascii="David" w:hAnsi="David"/>
          <w:noProof w:val="0"/>
        </w:rPr>
      </w:pPr>
      <w:r>
        <w:rPr>
          <w:rFonts w:ascii="David" w:hAnsi="David"/>
          <w:noProof w:val="0"/>
          <w:rtl/>
        </w:rPr>
        <w:t>לטענת המשיב, הנכס מהוה בנ</w:t>
      </w:r>
      <w:r w:rsidR="006A0B2D">
        <w:rPr>
          <w:rFonts w:ascii="David" w:hAnsi="David" w:hint="cs"/>
          <w:noProof w:val="0"/>
          <w:rtl/>
        </w:rPr>
        <w:t>י</w:t>
      </w:r>
      <w:r>
        <w:rPr>
          <w:rFonts w:ascii="David" w:hAnsi="David"/>
          <w:noProof w:val="0"/>
          <w:rtl/>
        </w:rPr>
        <w:t xml:space="preserve">ין המשמש למלונית ובשל כך אינו חוסה תחת </w:t>
      </w:r>
      <w:r w:rsidR="00010424">
        <w:rPr>
          <w:rFonts w:ascii="David" w:hAnsi="David" w:hint="cs"/>
          <w:noProof w:val="0"/>
          <w:rtl/>
        </w:rPr>
        <w:t xml:space="preserve">כללי </w:t>
      </w:r>
      <w:r>
        <w:rPr>
          <w:rFonts w:ascii="David" w:hAnsi="David"/>
          <w:noProof w:val="0"/>
          <w:rtl/>
        </w:rPr>
        <w:t xml:space="preserve">מס </w:t>
      </w:r>
      <w:r w:rsidR="00702B51">
        <w:rPr>
          <w:rFonts w:ascii="David" w:hAnsi="David" w:hint="cs"/>
          <w:noProof w:val="0"/>
          <w:rtl/>
        </w:rPr>
        <w:t>ה</w:t>
      </w:r>
      <w:r>
        <w:rPr>
          <w:rFonts w:ascii="David" w:hAnsi="David"/>
          <w:noProof w:val="0"/>
          <w:rtl/>
        </w:rPr>
        <w:t>שבח לדירת מגורים מזכה כהגדרתה. הנכס הנדון פועל מזה עשרות שנים כמטה עמותת "עצרת כל האומות בירושלים"</w:t>
      </w:r>
      <w:r w:rsidR="00010424">
        <w:rPr>
          <w:rFonts w:ascii="David" w:hAnsi="David" w:hint="cs"/>
          <w:noProof w:val="0"/>
          <w:rtl/>
        </w:rPr>
        <w:t xml:space="preserve"> </w:t>
      </w:r>
      <w:r w:rsidR="00010424">
        <w:rPr>
          <w:rFonts w:ascii="David" w:hAnsi="David"/>
          <w:noProof w:val="0"/>
          <w:rtl/>
        </w:rPr>
        <w:t>–</w:t>
      </w:r>
      <w:r>
        <w:rPr>
          <w:rFonts w:ascii="David" w:hAnsi="David"/>
          <w:noProof w:val="0"/>
          <w:rtl/>
        </w:rPr>
        <w:t xml:space="preserve"> כסניפו בישראל של מלכ"ר הרשום בארה"ב וקיימים בו חלקים ציבוריים ומנהליים שונים. בנוסף, העמותה ערכה שיפורים ושיפוצים שונים במבנה כדי להתאימו לצרכיה, ובכלל זה חלוקה פנימית חדשה.</w:t>
      </w:r>
    </w:p>
    <w:p w:rsidR="0005774A" w:rsidRDefault="0005774A" w:rsidP="0005774A">
      <w:pPr>
        <w:pStyle w:val="ad"/>
        <w:spacing w:line="360" w:lineRule="auto"/>
        <w:jc w:val="both"/>
        <w:rPr>
          <w:rFonts w:ascii="David" w:hAnsi="David"/>
          <w:noProof w:val="0"/>
        </w:rPr>
      </w:pPr>
    </w:p>
    <w:p w:rsidR="0005774A" w:rsidRDefault="0005774A" w:rsidP="0005774A">
      <w:pPr>
        <w:pStyle w:val="ad"/>
        <w:numPr>
          <w:ilvl w:val="0"/>
          <w:numId w:val="1"/>
        </w:numPr>
        <w:spacing w:line="360" w:lineRule="auto"/>
        <w:jc w:val="both"/>
        <w:rPr>
          <w:rFonts w:ascii="David" w:hAnsi="David"/>
          <w:noProof w:val="0"/>
        </w:rPr>
      </w:pPr>
      <w:r>
        <w:rPr>
          <w:rFonts w:ascii="David" w:hAnsi="David"/>
          <w:noProof w:val="0"/>
          <w:rtl/>
        </w:rPr>
        <w:lastRenderedPageBreak/>
        <w:t>לטענת המשיב, תיקון השומה נעשה במסגרת סמכותו, ולמעשה כמתחייב, מאחר ונתגלו למשיב עובדות חדשות וכן נתברר לו כי נפלה טעות משפטית באותה החלטה. אלו הביאו לקביעת מס שבח בשיעור מופחת, בעת שלא היה מקום לכך. משכך, הוצאה שומה מתוקנת על פי סמכות המנהל ובגדר התקופה הקצובה לכך בסעיף 85 לחוק.</w:t>
      </w:r>
    </w:p>
    <w:p w:rsidR="0005774A" w:rsidRDefault="0005774A" w:rsidP="0005774A">
      <w:pPr>
        <w:spacing w:line="360" w:lineRule="auto"/>
        <w:jc w:val="both"/>
        <w:rPr>
          <w:rFonts w:ascii="David" w:hAnsi="David"/>
          <w:noProof w:val="0"/>
        </w:rPr>
      </w:pPr>
    </w:p>
    <w:p w:rsidR="0005774A" w:rsidRDefault="0005774A" w:rsidP="0005774A">
      <w:pPr>
        <w:spacing w:line="360" w:lineRule="auto"/>
        <w:ind w:left="720" w:hanging="720"/>
        <w:jc w:val="both"/>
        <w:rPr>
          <w:rFonts w:ascii="David" w:hAnsi="David"/>
          <w:noProof w:val="0"/>
          <w:rtl/>
        </w:rPr>
      </w:pPr>
      <w:r>
        <w:rPr>
          <w:rFonts w:ascii="David" w:hAnsi="David"/>
          <w:b/>
          <w:bCs/>
          <w:noProof w:val="0"/>
          <w:u w:val="single"/>
          <w:rtl/>
        </w:rPr>
        <w:t>דיון והכרעה</w:t>
      </w:r>
    </w:p>
    <w:p w:rsidR="0005774A" w:rsidRPr="00702B51" w:rsidRDefault="0005774A" w:rsidP="0005774A">
      <w:pPr>
        <w:spacing w:line="360" w:lineRule="auto"/>
        <w:jc w:val="both"/>
        <w:rPr>
          <w:rFonts w:ascii="David" w:hAnsi="David"/>
          <w:noProof w:val="0"/>
          <w:rtl/>
        </w:rPr>
      </w:pPr>
      <w:r w:rsidRPr="00702B51">
        <w:rPr>
          <w:rFonts w:ascii="David" w:hAnsi="David"/>
          <w:noProof w:val="0"/>
          <w:u w:val="single"/>
          <w:rtl/>
        </w:rPr>
        <w:t>התשתית הנורמטיבית</w:t>
      </w:r>
    </w:p>
    <w:p w:rsidR="0005774A" w:rsidRDefault="0005774A" w:rsidP="0005774A">
      <w:pPr>
        <w:pStyle w:val="NormalWeb"/>
        <w:numPr>
          <w:ilvl w:val="0"/>
          <w:numId w:val="1"/>
        </w:numPr>
        <w:shd w:val="clear" w:color="auto" w:fill="FFFFFF"/>
        <w:bidi/>
        <w:spacing w:line="360" w:lineRule="auto"/>
        <w:jc w:val="both"/>
        <w:rPr>
          <w:rFonts w:ascii="David" w:hAnsi="David" w:cs="David"/>
          <w:color w:val="000000" w:themeColor="text1"/>
        </w:rPr>
      </w:pPr>
      <w:r>
        <w:rPr>
          <w:rFonts w:ascii="David" w:hAnsi="David" w:cs="David"/>
          <w:color w:val="000000" w:themeColor="text1"/>
          <w:rtl/>
        </w:rPr>
        <w:t>חוק מיסוי מקרקעין קובע כי פטור ממס שבח יחול אך ורק לגבי דירה, אשר עונה להגדרת המונח "דירת מגורים מזכה"</w:t>
      </w:r>
      <w:r>
        <w:rPr>
          <w:rFonts w:ascii="David" w:hAnsi="David" w:cs="David"/>
          <w:color w:val="000000" w:themeColor="text1"/>
        </w:rPr>
        <w:t>.</w:t>
      </w:r>
      <w:r>
        <w:rPr>
          <w:rFonts w:ascii="David" w:hAnsi="David" w:cs="David"/>
          <w:color w:val="000000" w:themeColor="text1"/>
          <w:rtl/>
        </w:rPr>
        <w:t xml:space="preserve"> טרם נבחן את הגדרת המונח "דירת מגורים מזכה", עלינו לבחון את משמעות הגדרת המונח "</w:t>
      </w:r>
      <w:r>
        <w:rPr>
          <w:rFonts w:ascii="David" w:hAnsi="David" w:cs="David"/>
          <w:b/>
          <w:bCs/>
          <w:color w:val="000000" w:themeColor="text1"/>
          <w:rtl/>
        </w:rPr>
        <w:t>דירת מגורים</w:t>
      </w:r>
      <w:r>
        <w:rPr>
          <w:rFonts w:ascii="David" w:hAnsi="David" w:cs="David"/>
          <w:color w:val="000000" w:themeColor="text1"/>
          <w:rtl/>
        </w:rPr>
        <w:t>"</w:t>
      </w:r>
      <w:r w:rsidR="00010424">
        <w:rPr>
          <w:rFonts w:ascii="David" w:hAnsi="David" w:cs="David" w:hint="cs"/>
          <w:color w:val="000000" w:themeColor="text1"/>
          <w:rtl/>
        </w:rPr>
        <w:t>,</w:t>
      </w:r>
      <w:r>
        <w:rPr>
          <w:rFonts w:ascii="David" w:hAnsi="David" w:cs="David"/>
          <w:color w:val="000000" w:themeColor="text1"/>
          <w:rtl/>
        </w:rPr>
        <w:t xml:space="preserve"> המופיע</w:t>
      </w:r>
      <w:r w:rsidR="00010424">
        <w:rPr>
          <w:rFonts w:ascii="David" w:hAnsi="David" w:cs="David" w:hint="cs"/>
          <w:color w:val="000000" w:themeColor="text1"/>
          <w:rtl/>
        </w:rPr>
        <w:t>ה</w:t>
      </w:r>
      <w:r>
        <w:rPr>
          <w:rFonts w:ascii="David" w:hAnsi="David" w:cs="David"/>
          <w:color w:val="000000" w:themeColor="text1"/>
          <w:rtl/>
        </w:rPr>
        <w:t xml:space="preserve"> בסעיף 1 של הפרק הראשון לחוק, העוסק בהגדרות, כלהלן</w:t>
      </w:r>
      <w:r>
        <w:rPr>
          <w:rFonts w:ascii="David" w:hAnsi="David" w:cs="David"/>
          <w:color w:val="000000" w:themeColor="text1"/>
        </w:rPr>
        <w:t>:</w:t>
      </w:r>
    </w:p>
    <w:p w:rsidR="0005774A" w:rsidRDefault="0005774A" w:rsidP="0005774A">
      <w:pPr>
        <w:pStyle w:val="NormalWeb"/>
        <w:shd w:val="clear" w:color="auto" w:fill="FFFFFF"/>
        <w:bidi/>
        <w:spacing w:beforeAutospacing="0" w:afterAutospacing="0" w:line="360" w:lineRule="auto"/>
        <w:ind w:left="1417" w:right="1417"/>
        <w:jc w:val="both"/>
        <w:rPr>
          <w:rFonts w:ascii="David" w:hAnsi="David" w:cs="David"/>
          <w:b/>
          <w:bCs/>
          <w:color w:val="000000" w:themeColor="text1"/>
          <w:rtl/>
        </w:rPr>
      </w:pPr>
      <w:r>
        <w:rPr>
          <w:rFonts w:ascii="David" w:hAnsi="David" w:cs="David"/>
          <w:b/>
          <w:bCs/>
          <w:color w:val="000000" w:themeColor="text1"/>
          <w:rtl/>
        </w:rPr>
        <w:t>"דירה או חלק מדירה, שבנייתה נסתיימה והיא בבעלותו או בחכירתו של יחיד, ומשמשת למגורים או מיועדת למגורים לפי טיבה, למעט דירה המהווה מלאי עסקי לעניין מס הכנסה;"</w:t>
      </w:r>
    </w:p>
    <w:p w:rsidR="00702B51" w:rsidRDefault="00702B51" w:rsidP="00702B51">
      <w:pPr>
        <w:pStyle w:val="NormalWeb"/>
        <w:shd w:val="clear" w:color="auto" w:fill="FFFFFF"/>
        <w:bidi/>
        <w:spacing w:beforeAutospacing="0" w:afterAutospacing="0" w:line="360" w:lineRule="auto"/>
        <w:ind w:left="1417" w:right="1417"/>
        <w:jc w:val="both"/>
        <w:rPr>
          <w:rFonts w:ascii="David" w:hAnsi="David" w:cs="David"/>
          <w:b/>
          <w:bCs/>
          <w:color w:val="000000" w:themeColor="text1"/>
          <w:rtl/>
        </w:rPr>
      </w:pPr>
    </w:p>
    <w:p w:rsidR="0005774A" w:rsidRDefault="0005774A" w:rsidP="00010424">
      <w:pPr>
        <w:pStyle w:val="NormalWeb"/>
        <w:numPr>
          <w:ilvl w:val="0"/>
          <w:numId w:val="1"/>
        </w:numPr>
        <w:shd w:val="clear" w:color="auto" w:fill="FFFFFF"/>
        <w:bidi/>
        <w:spacing w:before="0" w:beforeAutospacing="0" w:after="0" w:afterAutospacing="0" w:line="360" w:lineRule="auto"/>
        <w:jc w:val="both"/>
        <w:rPr>
          <w:rFonts w:ascii="David" w:hAnsi="David" w:cs="David"/>
          <w:color w:val="000000" w:themeColor="text1"/>
          <w:rtl/>
        </w:rPr>
      </w:pPr>
      <w:r>
        <w:rPr>
          <w:rFonts w:ascii="David" w:hAnsi="David" w:cs="David"/>
          <w:color w:val="000000" w:themeColor="text1"/>
          <w:shd w:val="clear" w:color="auto" w:fill="FFFFFF"/>
          <w:rtl/>
        </w:rPr>
        <w:t xml:space="preserve">המועד הרלוונטי והקובע לבחינת התקיימותם של כל היסודות הללו הוא מועד אירוע המס, אשר הוא יום מכירת הזכות במקרקעין (ראו ע"א 2170/03 </w:t>
      </w:r>
      <w:r>
        <w:rPr>
          <w:rFonts w:ascii="David" w:hAnsi="David" w:cs="David"/>
          <w:b/>
          <w:bCs/>
          <w:color w:val="000000" w:themeColor="text1"/>
          <w:shd w:val="clear" w:color="auto" w:fill="FFFFFF"/>
          <w:rtl/>
        </w:rPr>
        <w:t>שכנר</w:t>
      </w:r>
      <w:r>
        <w:rPr>
          <w:rFonts w:ascii="David" w:hAnsi="David" w:cs="David"/>
          <w:color w:val="000000" w:themeColor="text1"/>
          <w:shd w:val="clear" w:color="auto" w:fill="FFFFFF"/>
          <w:rtl/>
        </w:rPr>
        <w:t xml:space="preserve"> </w:t>
      </w:r>
      <w:r>
        <w:rPr>
          <w:rFonts w:ascii="David" w:hAnsi="David" w:cs="David"/>
          <w:b/>
          <w:bCs/>
          <w:color w:val="000000" w:themeColor="text1"/>
          <w:shd w:val="clear" w:color="auto" w:fill="FFFFFF"/>
          <w:rtl/>
        </w:rPr>
        <w:t>נ'</w:t>
      </w:r>
      <w:r>
        <w:rPr>
          <w:rFonts w:ascii="David" w:hAnsi="David" w:cs="David"/>
          <w:color w:val="000000" w:themeColor="text1"/>
          <w:shd w:val="clear" w:color="auto" w:fill="FFFFFF"/>
          <w:rtl/>
        </w:rPr>
        <w:t xml:space="preserve"> </w:t>
      </w:r>
      <w:r>
        <w:rPr>
          <w:rFonts w:ascii="David" w:hAnsi="David" w:cs="David"/>
          <w:b/>
          <w:bCs/>
          <w:color w:val="000000" w:themeColor="text1"/>
          <w:shd w:val="clear" w:color="auto" w:fill="FFFFFF"/>
          <w:rtl/>
        </w:rPr>
        <w:t>מנהל מס שבח מקרקעין</w:t>
      </w:r>
      <w:r>
        <w:rPr>
          <w:rFonts w:ascii="David" w:hAnsi="David" w:cs="David"/>
          <w:color w:val="000000" w:themeColor="text1"/>
          <w:shd w:val="clear" w:color="auto" w:fill="FFFFFF"/>
          <w:rtl/>
        </w:rPr>
        <w:t xml:space="preserve">, פד"י נט(2) 250, 256 (להלן: "עניין </w:t>
      </w:r>
      <w:r>
        <w:rPr>
          <w:rFonts w:ascii="David" w:hAnsi="David" w:cs="David"/>
          <w:b/>
          <w:bCs/>
          <w:color w:val="000000" w:themeColor="text1"/>
          <w:shd w:val="clear" w:color="auto" w:fill="FFFFFF"/>
          <w:rtl/>
        </w:rPr>
        <w:t>שכנר</w:t>
      </w:r>
      <w:r>
        <w:rPr>
          <w:rFonts w:ascii="David" w:hAnsi="David" w:cs="David"/>
          <w:color w:val="000000" w:themeColor="text1"/>
          <w:shd w:val="clear" w:color="auto" w:fill="FFFFFF"/>
          <w:rtl/>
        </w:rPr>
        <w:t>")).</w:t>
      </w:r>
      <w:r>
        <w:rPr>
          <w:rFonts w:ascii="David" w:hAnsi="David" w:cs="David"/>
          <w:color w:val="000000" w:themeColor="text1"/>
          <w:rtl/>
        </w:rPr>
        <w:t xml:space="preserve"> </w:t>
      </w:r>
    </w:p>
    <w:p w:rsidR="0005774A" w:rsidRDefault="0005774A" w:rsidP="0005774A">
      <w:pPr>
        <w:pStyle w:val="NormalWeb"/>
        <w:shd w:val="clear" w:color="auto" w:fill="FFFFFF"/>
        <w:bidi/>
        <w:spacing w:before="0" w:beforeAutospacing="0" w:after="0" w:afterAutospacing="0" w:line="360" w:lineRule="auto"/>
        <w:ind w:left="720"/>
        <w:jc w:val="both"/>
        <w:rPr>
          <w:rFonts w:ascii="David" w:hAnsi="David" w:cs="David"/>
          <w:color w:val="000000" w:themeColor="text1"/>
        </w:rPr>
      </w:pPr>
    </w:p>
    <w:p w:rsidR="0005774A" w:rsidRDefault="0005774A" w:rsidP="00010424">
      <w:pPr>
        <w:pStyle w:val="NormalWeb"/>
        <w:numPr>
          <w:ilvl w:val="0"/>
          <w:numId w:val="1"/>
        </w:numPr>
        <w:shd w:val="clear" w:color="auto" w:fill="FFFFFF"/>
        <w:bidi/>
        <w:spacing w:before="0" w:beforeAutospacing="0" w:after="0" w:afterAutospacing="0" w:line="360" w:lineRule="auto"/>
        <w:jc w:val="both"/>
        <w:rPr>
          <w:rFonts w:ascii="David" w:hAnsi="David" w:cs="David"/>
          <w:color w:val="000000" w:themeColor="text1"/>
          <w:rtl/>
        </w:rPr>
      </w:pPr>
      <w:r>
        <w:rPr>
          <w:rFonts w:ascii="David" w:hAnsi="David" w:cs="David"/>
          <w:color w:val="000000" w:themeColor="text1"/>
          <w:rtl/>
        </w:rPr>
        <w:t xml:space="preserve">טרם תיקון 8 לחוק מיסוי מקרקעין, רק "דירת יחיד" זכתה להטבות ופטור ממס שבח. כאשר הבחינה הייתה, בין היתר, לגבי שימוש עיקרי למגורים וכי היחיד או קרובו גרים בדירה רוב ימות השנה. כפי שציינו </w:t>
      </w:r>
      <w:r w:rsidR="00010424">
        <w:rPr>
          <w:rFonts w:ascii="David" w:hAnsi="David" w:cs="David" w:hint="cs"/>
          <w:color w:val="000000" w:themeColor="text1"/>
          <w:rtl/>
        </w:rPr>
        <w:t xml:space="preserve">העוררים </w:t>
      </w:r>
      <w:r>
        <w:rPr>
          <w:rFonts w:ascii="David" w:hAnsi="David" w:cs="David"/>
          <w:color w:val="000000" w:themeColor="text1"/>
          <w:rtl/>
        </w:rPr>
        <w:t xml:space="preserve">בכתב הערר, ההגדרה הציבה קשיי פרשנות רבים, לא השיגה את תכליתו הסוציאלית של החוק ואפשרה תכנוני מס אותם לא שיער המחוקק (סעיף 4.5 לכתב הערר). </w:t>
      </w:r>
    </w:p>
    <w:p w:rsidR="0005774A" w:rsidRDefault="0005774A" w:rsidP="0005774A">
      <w:pPr>
        <w:pStyle w:val="NormalWeb"/>
        <w:shd w:val="clear" w:color="auto" w:fill="FFFFFF"/>
        <w:bidi/>
        <w:spacing w:before="0" w:beforeAutospacing="0" w:after="0" w:afterAutospacing="0" w:line="360" w:lineRule="auto"/>
        <w:ind w:left="720"/>
        <w:jc w:val="both"/>
        <w:rPr>
          <w:rFonts w:ascii="David" w:hAnsi="David" w:cs="David"/>
          <w:color w:val="000000" w:themeColor="text1"/>
        </w:rPr>
      </w:pPr>
    </w:p>
    <w:p w:rsidR="0005774A" w:rsidRDefault="0005774A" w:rsidP="00702B51">
      <w:pPr>
        <w:pStyle w:val="NormalWeb"/>
        <w:numPr>
          <w:ilvl w:val="0"/>
          <w:numId w:val="1"/>
        </w:numPr>
        <w:shd w:val="clear" w:color="auto" w:fill="FFFFFF"/>
        <w:bidi/>
        <w:spacing w:before="0" w:beforeAutospacing="0" w:after="0" w:afterAutospacing="0" w:line="360" w:lineRule="auto"/>
        <w:jc w:val="both"/>
        <w:rPr>
          <w:rFonts w:ascii="David" w:hAnsi="David" w:cs="David"/>
          <w:color w:val="000000" w:themeColor="text1"/>
        </w:rPr>
      </w:pPr>
      <w:r>
        <w:rPr>
          <w:rFonts w:ascii="David" w:hAnsi="David" w:cs="David"/>
          <w:color w:val="000000" w:themeColor="text1"/>
          <w:rtl/>
        </w:rPr>
        <w:t xml:space="preserve">המחוקק לא הגדיר את המונח "דירה", אלא כלל אותה בתוך הגדרת המושג "דירת מגורים". בע"א 152/79 </w:t>
      </w:r>
      <w:r>
        <w:rPr>
          <w:rFonts w:ascii="David" w:hAnsi="David" w:cs="David"/>
          <w:b/>
          <w:bCs/>
          <w:color w:val="000000" w:themeColor="text1"/>
          <w:rtl/>
        </w:rPr>
        <w:t xml:space="preserve">מנהל מס שבח מקרקעין </w:t>
      </w:r>
      <w:r w:rsidR="00702B51">
        <w:rPr>
          <w:rFonts w:ascii="David" w:hAnsi="David" w:cs="David" w:hint="cs"/>
          <w:b/>
          <w:bCs/>
          <w:color w:val="000000" w:themeColor="text1"/>
          <w:rtl/>
        </w:rPr>
        <w:t xml:space="preserve">אזור </w:t>
      </w:r>
      <w:r>
        <w:rPr>
          <w:rFonts w:ascii="David" w:hAnsi="David" w:cs="David"/>
          <w:b/>
          <w:bCs/>
          <w:color w:val="000000" w:themeColor="text1"/>
          <w:rtl/>
        </w:rPr>
        <w:t xml:space="preserve">מרכז נ' </w:t>
      </w:r>
      <w:r w:rsidR="00702B51">
        <w:rPr>
          <w:rFonts w:ascii="David" w:hAnsi="David" w:cs="David" w:hint="cs"/>
          <w:b/>
          <w:bCs/>
          <w:color w:val="000000" w:themeColor="text1"/>
          <w:rtl/>
        </w:rPr>
        <w:t xml:space="preserve">טיבור </w:t>
      </w:r>
      <w:r>
        <w:rPr>
          <w:rFonts w:ascii="David" w:hAnsi="David" w:cs="David"/>
          <w:b/>
          <w:bCs/>
          <w:color w:val="000000" w:themeColor="text1"/>
          <w:rtl/>
        </w:rPr>
        <w:t>שוורץ</w:t>
      </w:r>
      <w:r w:rsidR="00010424">
        <w:rPr>
          <w:rFonts w:ascii="David" w:hAnsi="David" w:cs="David" w:hint="cs"/>
          <w:b/>
          <w:bCs/>
          <w:color w:val="000000" w:themeColor="text1"/>
          <w:rtl/>
        </w:rPr>
        <w:t xml:space="preserve"> </w:t>
      </w:r>
      <w:r w:rsidR="00010424" w:rsidRPr="00702B51">
        <w:rPr>
          <w:rFonts w:ascii="David" w:hAnsi="David" w:cs="David" w:hint="cs"/>
          <w:color w:val="000000" w:themeColor="text1"/>
          <w:rtl/>
        </w:rPr>
        <w:t>(</w:t>
      </w:r>
      <w:r w:rsidR="00702B51" w:rsidRPr="00702B51">
        <w:rPr>
          <w:rFonts w:ascii="David" w:hAnsi="David" w:cs="David" w:hint="cs"/>
          <w:color w:val="000000" w:themeColor="text1"/>
          <w:rtl/>
        </w:rPr>
        <w:t>1979</w:t>
      </w:r>
      <w:r w:rsidR="00010424" w:rsidRPr="00702B51">
        <w:rPr>
          <w:rFonts w:ascii="David" w:hAnsi="David" w:cs="David" w:hint="cs"/>
          <w:color w:val="000000" w:themeColor="text1"/>
          <w:rtl/>
        </w:rPr>
        <w:t>)</w:t>
      </w:r>
      <w:r>
        <w:rPr>
          <w:rFonts w:ascii="David" w:hAnsi="David" w:cs="David"/>
          <w:color w:val="000000" w:themeColor="text1"/>
          <w:rtl/>
        </w:rPr>
        <w:t xml:space="preserve"> נקבע כי המונח "דירה" יפורש לפי משמעותו בלשון פשוטה, לשון יום יום, כיחידה בעלת חדר אחד לפחות, מטבח ושירותים, אשר ניתן להתגורר בה.</w:t>
      </w:r>
    </w:p>
    <w:p w:rsidR="0005774A" w:rsidRDefault="0005774A" w:rsidP="0005774A">
      <w:pPr>
        <w:pStyle w:val="NormalWeb"/>
        <w:shd w:val="clear" w:color="auto" w:fill="FFFFFF"/>
        <w:bidi/>
        <w:spacing w:before="0" w:beforeAutospacing="0" w:after="0" w:afterAutospacing="0" w:line="360" w:lineRule="auto"/>
        <w:ind w:left="720"/>
        <w:jc w:val="both"/>
        <w:rPr>
          <w:rFonts w:ascii="David" w:hAnsi="David" w:cs="David"/>
          <w:color w:val="000000" w:themeColor="text1"/>
        </w:rPr>
      </w:pPr>
    </w:p>
    <w:p w:rsidR="0005774A" w:rsidRDefault="0005774A" w:rsidP="00010424">
      <w:pPr>
        <w:pStyle w:val="ad"/>
        <w:numPr>
          <w:ilvl w:val="0"/>
          <w:numId w:val="1"/>
        </w:numPr>
        <w:shd w:val="clear" w:color="auto" w:fill="FFFFFF"/>
        <w:spacing w:line="360" w:lineRule="auto"/>
        <w:jc w:val="both"/>
        <w:rPr>
          <w:rFonts w:ascii="David" w:hAnsi="David"/>
          <w:noProof w:val="0"/>
          <w:color w:val="000000" w:themeColor="text1"/>
        </w:rPr>
      </w:pPr>
      <w:r>
        <w:rPr>
          <w:rFonts w:ascii="David" w:hAnsi="David"/>
          <w:noProof w:val="0"/>
          <w:color w:val="000000" w:themeColor="text1"/>
          <w:rtl/>
        </w:rPr>
        <w:t xml:space="preserve">בע"א 668/82 </w:t>
      </w:r>
      <w:r>
        <w:rPr>
          <w:rFonts w:ascii="David" w:hAnsi="David"/>
          <w:b/>
          <w:bCs/>
          <w:noProof w:val="0"/>
          <w:color w:val="000000" w:themeColor="text1"/>
          <w:rtl/>
        </w:rPr>
        <w:t>כורש</w:t>
      </w:r>
      <w:r>
        <w:rPr>
          <w:rFonts w:ascii="David" w:hAnsi="David"/>
          <w:noProof w:val="0"/>
          <w:color w:val="000000" w:themeColor="text1"/>
          <w:rtl/>
        </w:rPr>
        <w:t xml:space="preserve"> </w:t>
      </w:r>
      <w:r>
        <w:rPr>
          <w:rFonts w:ascii="David" w:hAnsi="David"/>
          <w:b/>
          <w:bCs/>
          <w:noProof w:val="0"/>
          <w:color w:val="000000" w:themeColor="text1"/>
          <w:rtl/>
        </w:rPr>
        <w:t>נ'</w:t>
      </w:r>
      <w:r>
        <w:rPr>
          <w:rFonts w:ascii="David" w:hAnsi="David"/>
          <w:noProof w:val="0"/>
          <w:color w:val="000000" w:themeColor="text1"/>
          <w:rtl/>
        </w:rPr>
        <w:t xml:space="preserve"> </w:t>
      </w:r>
      <w:r>
        <w:rPr>
          <w:rFonts w:ascii="David" w:hAnsi="David"/>
          <w:b/>
          <w:bCs/>
          <w:noProof w:val="0"/>
          <w:color w:val="000000" w:themeColor="text1"/>
          <w:rtl/>
        </w:rPr>
        <w:t>מנהל מס שבח מקרקעין</w:t>
      </w:r>
      <w:r>
        <w:rPr>
          <w:rFonts w:ascii="David" w:hAnsi="David"/>
          <w:noProof w:val="0"/>
          <w:color w:val="000000" w:themeColor="text1"/>
          <w:rtl/>
        </w:rPr>
        <w:t>, פ"ד לט(2) 385 (להלן: "</w:t>
      </w:r>
      <w:r w:rsidR="00010424" w:rsidRPr="00010424">
        <w:rPr>
          <w:rFonts w:ascii="David" w:hAnsi="David" w:hint="cs"/>
          <w:b/>
          <w:bCs/>
          <w:noProof w:val="0"/>
          <w:color w:val="000000" w:themeColor="text1"/>
          <w:rtl/>
        </w:rPr>
        <w:t>עניין</w:t>
      </w:r>
      <w:r>
        <w:rPr>
          <w:rFonts w:ascii="David" w:hAnsi="David"/>
          <w:noProof w:val="0"/>
          <w:color w:val="000000" w:themeColor="text1"/>
          <w:rtl/>
        </w:rPr>
        <w:t xml:space="preserve"> </w:t>
      </w:r>
      <w:r>
        <w:rPr>
          <w:rFonts w:ascii="David" w:hAnsi="David"/>
          <w:b/>
          <w:bCs/>
          <w:noProof w:val="0"/>
          <w:color w:val="000000" w:themeColor="text1"/>
          <w:rtl/>
        </w:rPr>
        <w:t>כורש</w:t>
      </w:r>
      <w:r>
        <w:rPr>
          <w:rFonts w:ascii="David" w:hAnsi="David"/>
          <w:noProof w:val="0"/>
          <w:color w:val="000000" w:themeColor="text1"/>
          <w:rtl/>
        </w:rPr>
        <w:t xml:space="preserve">"), נקבעה ע"י בית המשפט העליון ההלכה לעניין זה; ולפיה, המבחן באשר לחלופה של "מיועדת למגורים לפי טיבה" הוא מבחן </w:t>
      </w:r>
      <w:r>
        <w:rPr>
          <w:rFonts w:ascii="David" w:hAnsi="David"/>
          <w:noProof w:val="0"/>
          <w:color w:val="000000" w:themeColor="text1"/>
          <w:u w:val="single"/>
          <w:rtl/>
        </w:rPr>
        <w:t>אובייקטיבי</w:t>
      </w:r>
      <w:r>
        <w:rPr>
          <w:rFonts w:ascii="David" w:hAnsi="David"/>
          <w:noProof w:val="0"/>
          <w:color w:val="000000" w:themeColor="text1"/>
          <w:rtl/>
        </w:rPr>
        <w:t xml:space="preserve"> ולא מבחן סובייקטיבי. זהו </w:t>
      </w:r>
      <w:r>
        <w:rPr>
          <w:rFonts w:ascii="David" w:hAnsi="David"/>
          <w:noProof w:val="0"/>
          <w:color w:val="000000" w:themeColor="text1"/>
          <w:u w:val="single"/>
          <w:rtl/>
        </w:rPr>
        <w:t>מבחן פיזי</w:t>
      </w:r>
      <w:r>
        <w:rPr>
          <w:rFonts w:ascii="David" w:hAnsi="David"/>
          <w:noProof w:val="0"/>
          <w:color w:val="000000" w:themeColor="text1"/>
        </w:rPr>
        <w:t xml:space="preserve">, </w:t>
      </w:r>
      <w:r>
        <w:rPr>
          <w:rFonts w:ascii="David" w:hAnsi="David"/>
          <w:noProof w:val="0"/>
          <w:color w:val="000000" w:themeColor="text1"/>
          <w:rtl/>
        </w:rPr>
        <w:t xml:space="preserve">כלומר, </w:t>
      </w:r>
      <w:r>
        <w:rPr>
          <w:rFonts w:ascii="David" w:hAnsi="David"/>
          <w:noProof w:val="0"/>
          <w:color w:val="000000" w:themeColor="text1"/>
          <w:rtl/>
        </w:rPr>
        <w:lastRenderedPageBreak/>
        <w:t>יש לבחון האם בנסיבות העניין מתקיים פוטנציאל ממשי (פונקציונלי) להשתמש בדירה למטרת מגורים, אם לאו</w:t>
      </w:r>
      <w:r>
        <w:rPr>
          <w:rFonts w:ascii="David" w:hAnsi="David"/>
          <w:noProof w:val="0"/>
          <w:color w:val="000000" w:themeColor="text1"/>
        </w:rPr>
        <w:t>.</w:t>
      </w:r>
      <w:r>
        <w:rPr>
          <w:rFonts w:ascii="David" w:hAnsi="David"/>
          <w:noProof w:val="0"/>
          <w:color w:val="000000" w:themeColor="text1"/>
          <w:rtl/>
        </w:rPr>
        <w:t xml:space="preserve"> </w:t>
      </w:r>
      <w:r>
        <w:rPr>
          <w:rFonts w:ascii="David" w:hAnsi="David" w:hint="cs"/>
          <w:noProof w:val="0"/>
          <w:color w:val="000000" w:themeColor="text1"/>
          <w:rtl/>
        </w:rPr>
        <w:t xml:space="preserve">כך ציין כבוד השופט ד’ לוין בפרשת </w:t>
      </w:r>
      <w:r>
        <w:rPr>
          <w:rFonts w:ascii="David" w:hAnsi="David" w:hint="cs"/>
          <w:b/>
          <w:bCs/>
          <w:noProof w:val="0"/>
          <w:color w:val="000000" w:themeColor="text1"/>
          <w:rtl/>
        </w:rPr>
        <w:t>כורש</w:t>
      </w:r>
      <w:r>
        <w:rPr>
          <w:rFonts w:ascii="David" w:hAnsi="David"/>
          <w:noProof w:val="0"/>
          <w:color w:val="000000" w:themeColor="text1"/>
        </w:rPr>
        <w:t>:</w:t>
      </w:r>
    </w:p>
    <w:p w:rsidR="00F81524" w:rsidRDefault="00F81524" w:rsidP="00F81524">
      <w:pPr>
        <w:pStyle w:val="ad"/>
        <w:shd w:val="clear" w:color="auto" w:fill="FFFFFF"/>
        <w:spacing w:line="360" w:lineRule="auto"/>
        <w:jc w:val="both"/>
        <w:rPr>
          <w:rFonts w:ascii="David" w:hAnsi="David"/>
          <w:noProof w:val="0"/>
          <w:color w:val="000000" w:themeColor="text1"/>
        </w:rPr>
      </w:pPr>
    </w:p>
    <w:p w:rsidR="0005774A" w:rsidRPr="00010424" w:rsidRDefault="0005774A" w:rsidP="0005774A">
      <w:pPr>
        <w:pStyle w:val="ad"/>
        <w:shd w:val="clear" w:color="auto" w:fill="FFFFFF"/>
        <w:spacing w:line="360" w:lineRule="auto"/>
        <w:ind w:left="1417" w:right="1417"/>
        <w:jc w:val="both"/>
        <w:rPr>
          <w:rFonts w:ascii="David" w:hAnsi="David"/>
          <w:b/>
          <w:bCs/>
          <w:noProof w:val="0"/>
          <w:color w:val="000000" w:themeColor="text1"/>
        </w:rPr>
      </w:pPr>
      <w:r w:rsidRPr="00010424">
        <w:rPr>
          <w:rFonts w:ascii="David" w:hAnsi="David"/>
          <w:b/>
          <w:bCs/>
          <w:noProof w:val="0"/>
          <w:color w:val="000000" w:themeColor="text1"/>
          <w:rtl/>
        </w:rPr>
        <w:t>"יש לבדוק את הדירה, כמות שהיא, לצורך מבחן זה, ולראות, אם היא מיועדת ועשויה לשמש בפועל למגורים מבחינה פיזית, דהיינו, מבחינת המבנה ומבחינת הימצאותם של מתקנים המצויים בדרך כלל בדירות מגורים והחיוניים לשם שימוש רגיל וסביר של הדיירים, כגון מתקני חשמל ומים, שירותים, מטבח וכיוצא באלה</w:t>
      </w:r>
      <w:r w:rsidRPr="00010424">
        <w:rPr>
          <w:rFonts w:ascii="David" w:hAnsi="David"/>
          <w:b/>
          <w:bCs/>
          <w:noProof w:val="0"/>
          <w:color w:val="000000" w:themeColor="text1"/>
        </w:rPr>
        <w:t>.</w:t>
      </w:r>
      <w:r w:rsidRPr="00010424">
        <w:rPr>
          <w:rFonts w:ascii="David" w:hAnsi="David"/>
          <w:b/>
          <w:bCs/>
          <w:noProof w:val="0"/>
          <w:color w:val="000000" w:themeColor="text1"/>
          <w:rtl/>
        </w:rPr>
        <w:t>"</w:t>
      </w:r>
    </w:p>
    <w:p w:rsidR="0005774A" w:rsidRDefault="0005774A" w:rsidP="00F81524">
      <w:pPr>
        <w:shd w:val="clear" w:color="auto" w:fill="FFFFFF"/>
        <w:spacing w:before="100" w:beforeAutospacing="1" w:after="100" w:afterAutospacing="1" w:line="360" w:lineRule="auto"/>
        <w:ind w:left="363"/>
        <w:jc w:val="both"/>
        <w:rPr>
          <w:rFonts w:ascii="Arial" w:hAnsi="Arial"/>
          <w:b/>
          <w:bCs/>
          <w:noProof w:val="0"/>
          <w:rtl/>
        </w:rPr>
      </w:pPr>
      <w:r>
        <w:rPr>
          <w:rFonts w:ascii="Arial" w:hAnsi="Arial"/>
          <w:noProof w:val="0"/>
          <w:rtl/>
        </w:rPr>
        <w:t>עוד נפסק כי לצורך המבחן האובייקטיבי, בדי</w:t>
      </w:r>
      <w:r w:rsidR="00BC1DBA">
        <w:rPr>
          <w:rFonts w:ascii="Arial" w:hAnsi="Arial"/>
          <w:noProof w:val="0"/>
          <w:rtl/>
        </w:rPr>
        <w:t>קת יעוד הדירה תעשה לפי תכנית המ</w:t>
      </w:r>
      <w:r>
        <w:rPr>
          <w:rFonts w:ascii="Arial" w:hAnsi="Arial"/>
          <w:noProof w:val="0"/>
          <w:rtl/>
        </w:rPr>
        <w:t>תאר, כנקודת מוצא לבחינת יעוד המקרקעין (</w:t>
      </w:r>
      <w:r w:rsidR="00F81524">
        <w:rPr>
          <w:rFonts w:hint="cs"/>
          <w:rtl/>
        </w:rPr>
        <w:t xml:space="preserve">ע"א 237/87 </w:t>
      </w:r>
      <w:r w:rsidR="00F81524" w:rsidRPr="00F81524">
        <w:rPr>
          <w:rFonts w:hint="cs"/>
          <w:b/>
          <w:bCs/>
          <w:rtl/>
        </w:rPr>
        <w:t>ניצה</w:t>
      </w:r>
      <w:r w:rsidR="00F81524">
        <w:rPr>
          <w:rFonts w:hint="cs"/>
          <w:rtl/>
        </w:rPr>
        <w:t xml:space="preserve"> </w:t>
      </w:r>
      <w:r>
        <w:rPr>
          <w:rFonts w:ascii="Arial" w:hAnsi="Arial" w:hint="cs"/>
          <w:b/>
          <w:bCs/>
          <w:noProof w:val="0"/>
          <w:rtl/>
        </w:rPr>
        <w:t>גולן ואח' נ' מנהל מס שבח</w:t>
      </w:r>
      <w:r w:rsidR="00F81524">
        <w:rPr>
          <w:rFonts w:ascii="Arial" w:hAnsi="Arial" w:hint="cs"/>
          <w:noProof w:val="0"/>
          <w:rtl/>
        </w:rPr>
        <w:t xml:space="preserve"> </w:t>
      </w:r>
      <w:r w:rsidR="00F81524" w:rsidRPr="00F81524">
        <w:rPr>
          <w:rFonts w:ascii="Arial" w:hAnsi="Arial" w:hint="cs"/>
          <w:b/>
          <w:bCs/>
          <w:noProof w:val="0"/>
          <w:rtl/>
        </w:rPr>
        <w:t>המרכז</w:t>
      </w:r>
      <w:r>
        <w:rPr>
          <w:rFonts w:ascii="Arial" w:hAnsi="Arial" w:hint="cs"/>
          <w:noProof w:val="0"/>
          <w:rtl/>
        </w:rPr>
        <w:t>,</w:t>
      </w:r>
      <w:r w:rsidR="00F81524">
        <w:rPr>
          <w:rFonts w:ascii="Arial" w:hAnsi="Arial" w:hint="cs"/>
          <w:noProof w:val="0"/>
          <w:rtl/>
        </w:rPr>
        <w:t xml:space="preserve"> (1990) </w:t>
      </w:r>
      <w:r>
        <w:rPr>
          <w:rFonts w:ascii="Arial" w:hAnsi="Arial" w:hint="cs"/>
          <w:noProof w:val="0"/>
          <w:rtl/>
        </w:rPr>
        <w:t>(להלן: "</w:t>
      </w:r>
      <w:r>
        <w:rPr>
          <w:rFonts w:ascii="Arial" w:hAnsi="Arial" w:hint="cs"/>
          <w:b/>
          <w:bCs/>
          <w:noProof w:val="0"/>
          <w:rtl/>
        </w:rPr>
        <w:t>עניין גולן</w:t>
      </w:r>
      <w:r>
        <w:rPr>
          <w:rFonts w:ascii="Arial" w:hAnsi="Arial" w:hint="cs"/>
          <w:noProof w:val="0"/>
          <w:rtl/>
        </w:rPr>
        <w:t>"))</w:t>
      </w:r>
      <w:r>
        <w:rPr>
          <w:rFonts w:ascii="David" w:hAnsi="David"/>
          <w:noProof w:val="0"/>
          <w:color w:val="000000" w:themeColor="text1"/>
          <w:rtl/>
        </w:rPr>
        <w:t>.</w:t>
      </w:r>
    </w:p>
    <w:p w:rsidR="0005774A" w:rsidRDefault="0005774A" w:rsidP="0005774A">
      <w:pPr>
        <w:pStyle w:val="ad"/>
        <w:numPr>
          <w:ilvl w:val="0"/>
          <w:numId w:val="1"/>
        </w:numPr>
        <w:shd w:val="clear" w:color="auto" w:fill="FFFFFF"/>
        <w:spacing w:before="100" w:beforeAutospacing="1" w:after="100" w:afterAutospacing="1" w:line="360" w:lineRule="auto"/>
        <w:jc w:val="both"/>
        <w:rPr>
          <w:rFonts w:ascii="David" w:hAnsi="David"/>
          <w:noProof w:val="0"/>
          <w:color w:val="000000" w:themeColor="text1"/>
        </w:rPr>
      </w:pPr>
      <w:r>
        <w:rPr>
          <w:rFonts w:ascii="David" w:hAnsi="David"/>
          <w:noProof w:val="0"/>
          <w:color w:val="000000" w:themeColor="text1"/>
          <w:rtl/>
        </w:rPr>
        <w:t xml:space="preserve">בעניין </w:t>
      </w:r>
      <w:r>
        <w:rPr>
          <w:rFonts w:ascii="David" w:hAnsi="David"/>
          <w:b/>
          <w:bCs/>
          <w:noProof w:val="0"/>
          <w:color w:val="000000" w:themeColor="text1"/>
          <w:rtl/>
        </w:rPr>
        <w:t>שכנר</w:t>
      </w:r>
      <w:r>
        <w:rPr>
          <w:rFonts w:ascii="David" w:hAnsi="David"/>
          <w:noProof w:val="0"/>
          <w:color w:val="000000" w:themeColor="text1"/>
          <w:rtl/>
        </w:rPr>
        <w:t>, כבוד הנשיא (דאז) של בית המשפט העליון השופט ברק, הוסיף וציין, כך</w:t>
      </w:r>
      <w:r>
        <w:rPr>
          <w:rFonts w:ascii="David" w:hAnsi="David"/>
          <w:noProof w:val="0"/>
          <w:color w:val="000000" w:themeColor="text1"/>
        </w:rPr>
        <w:t>:</w:t>
      </w:r>
    </w:p>
    <w:p w:rsidR="00F81524" w:rsidRDefault="00F81524" w:rsidP="00F81524">
      <w:pPr>
        <w:pStyle w:val="ad"/>
        <w:shd w:val="clear" w:color="auto" w:fill="FFFFFF"/>
        <w:spacing w:before="100" w:beforeAutospacing="1" w:after="100" w:afterAutospacing="1" w:line="360" w:lineRule="auto"/>
        <w:jc w:val="both"/>
        <w:rPr>
          <w:rFonts w:ascii="David" w:hAnsi="David"/>
          <w:noProof w:val="0"/>
          <w:color w:val="000000" w:themeColor="text1"/>
        </w:rPr>
      </w:pPr>
    </w:p>
    <w:p w:rsidR="0005774A" w:rsidRPr="00010424" w:rsidRDefault="0005774A" w:rsidP="0005774A">
      <w:pPr>
        <w:pStyle w:val="ad"/>
        <w:shd w:val="clear" w:color="auto" w:fill="FFFFFF"/>
        <w:spacing w:before="100" w:beforeAutospacing="1" w:after="100" w:afterAutospacing="1" w:line="360" w:lineRule="auto"/>
        <w:ind w:left="1417" w:right="1417"/>
        <w:jc w:val="both"/>
        <w:rPr>
          <w:rFonts w:ascii="David" w:hAnsi="David"/>
          <w:b/>
          <w:bCs/>
          <w:noProof w:val="0"/>
          <w:color w:val="000000" w:themeColor="text1"/>
        </w:rPr>
      </w:pPr>
      <w:r w:rsidRPr="00010424">
        <w:rPr>
          <w:rFonts w:ascii="David" w:hAnsi="David"/>
          <w:b/>
          <w:bCs/>
          <w:i/>
          <w:iCs/>
          <w:noProof w:val="0"/>
          <w:color w:val="000000" w:themeColor="text1"/>
        </w:rPr>
        <w:t> </w:t>
      </w:r>
      <w:r w:rsidRPr="00010424">
        <w:rPr>
          <w:rFonts w:ascii="David" w:hAnsi="David"/>
          <w:b/>
          <w:bCs/>
          <w:noProof w:val="0"/>
          <w:color w:val="000000" w:themeColor="text1"/>
          <w:rtl/>
        </w:rPr>
        <w:t>"בבחינת המבחן האובייקטיבי בדבר "פוטנציאל ממשי להשתמש בדירה למגורים", יש לבדוק כל מקרה לגופו על פי כלל נסיבותיו. כל נכס ונסיבותיו הוא. הנסיבות הרלוונטיות מגוונות ורבות. ובכללן, אופי הנכס ומתקניו הפנימיים, תכניות הבינוי של הנכס והסביבה של הנכס הרלוונטי. גם מועד הבנייה של הנכס הוא נסיבה שצריכה להילקח בחשבון בין יתר הנסיבות ואין לצפות כי יש להחיל אותם סטנדרטים על נכס שנבנה לפני מאה שנה כמו נכס שנבנה זה עתה. גם השימוש שנעשה בפועל בנכס יכול ללמד במידה מסוימת על טיבו. כל אלה יכולים להיות נסיבות רלוונטיות שיש בהן כדי ללמד על טיבו של הנכס כבעל פוטנציאל לשמש למגורים</w:t>
      </w:r>
      <w:r w:rsidRPr="00010424">
        <w:rPr>
          <w:rFonts w:ascii="David" w:hAnsi="David"/>
          <w:b/>
          <w:bCs/>
          <w:noProof w:val="0"/>
          <w:color w:val="000000" w:themeColor="text1"/>
        </w:rPr>
        <w:t>.</w:t>
      </w:r>
      <w:r w:rsidRPr="00010424">
        <w:rPr>
          <w:rFonts w:ascii="David" w:hAnsi="David"/>
          <w:b/>
          <w:bCs/>
          <w:noProof w:val="0"/>
          <w:color w:val="000000" w:themeColor="text1"/>
          <w:rtl/>
        </w:rPr>
        <w:t>"</w:t>
      </w:r>
    </w:p>
    <w:p w:rsidR="0005774A" w:rsidRDefault="0005774A" w:rsidP="0005774A">
      <w:pPr>
        <w:pStyle w:val="ad"/>
        <w:shd w:val="clear" w:color="auto" w:fill="FFFFFF"/>
        <w:spacing w:before="100" w:beforeAutospacing="1" w:after="100" w:afterAutospacing="1" w:line="360" w:lineRule="auto"/>
        <w:ind w:left="1417" w:right="1417"/>
        <w:jc w:val="both"/>
        <w:rPr>
          <w:rFonts w:ascii="David" w:hAnsi="David"/>
          <w:noProof w:val="0"/>
          <w:color w:val="000000" w:themeColor="text1"/>
          <w:rtl/>
        </w:rPr>
      </w:pPr>
    </w:p>
    <w:p w:rsidR="0005774A" w:rsidRDefault="0005774A" w:rsidP="0005774A">
      <w:pPr>
        <w:pStyle w:val="ad"/>
        <w:shd w:val="clear" w:color="auto" w:fill="FFFFFF"/>
        <w:spacing w:before="100" w:beforeAutospacing="1" w:after="100" w:afterAutospacing="1" w:line="360" w:lineRule="auto"/>
        <w:jc w:val="both"/>
        <w:rPr>
          <w:rFonts w:ascii="David" w:hAnsi="David"/>
          <w:noProof w:val="0"/>
          <w:color w:val="000000" w:themeColor="text1"/>
          <w:rtl/>
        </w:rPr>
      </w:pPr>
      <w:r>
        <w:rPr>
          <w:rFonts w:ascii="David" w:hAnsi="David"/>
          <w:noProof w:val="0"/>
          <w:color w:val="000000" w:themeColor="text1"/>
          <w:rtl/>
        </w:rPr>
        <w:t xml:space="preserve">מהאמור ניכר ריכוך מסוים באופן יישום המבחן האובייקטיבי. כך, אין להסתפק במבחן הפיזי (הימצאות המתקנים) אלא יש לבחון את </w:t>
      </w:r>
      <w:r>
        <w:rPr>
          <w:rFonts w:ascii="David" w:hAnsi="David"/>
          <w:noProof w:val="0"/>
          <w:color w:val="000000" w:themeColor="text1"/>
          <w:u w:val="single"/>
          <w:rtl/>
        </w:rPr>
        <w:t>טיב הנכס</w:t>
      </w:r>
      <w:r>
        <w:rPr>
          <w:rFonts w:ascii="David" w:hAnsi="David"/>
          <w:noProof w:val="0"/>
          <w:color w:val="000000" w:themeColor="text1"/>
          <w:rtl/>
        </w:rPr>
        <w:t xml:space="preserve"> באופן רחב יותר, ולשקלל פרמטרים נוספים, אם כי הדגש עודנו למצב הפיזי של הנכס.</w:t>
      </w:r>
    </w:p>
    <w:p w:rsidR="0005774A" w:rsidRDefault="0005774A" w:rsidP="0005774A">
      <w:pPr>
        <w:pStyle w:val="ad"/>
        <w:shd w:val="clear" w:color="auto" w:fill="FFFFFF"/>
        <w:spacing w:before="100" w:beforeAutospacing="1" w:after="100" w:afterAutospacing="1" w:line="360" w:lineRule="auto"/>
        <w:jc w:val="both"/>
        <w:rPr>
          <w:rFonts w:ascii="David" w:hAnsi="David"/>
          <w:noProof w:val="0"/>
          <w:color w:val="000000" w:themeColor="text1"/>
          <w:rtl/>
        </w:rPr>
      </w:pPr>
    </w:p>
    <w:p w:rsidR="0005774A" w:rsidRDefault="0005774A" w:rsidP="0005774A">
      <w:pPr>
        <w:pStyle w:val="ad"/>
        <w:numPr>
          <w:ilvl w:val="0"/>
          <w:numId w:val="1"/>
        </w:numPr>
        <w:shd w:val="clear" w:color="auto" w:fill="FFFFFF"/>
        <w:spacing w:before="100" w:beforeAutospacing="1" w:after="100" w:afterAutospacing="1" w:line="360" w:lineRule="auto"/>
        <w:jc w:val="both"/>
        <w:rPr>
          <w:rFonts w:ascii="David" w:hAnsi="David"/>
          <w:noProof w:val="0"/>
          <w:color w:val="000000" w:themeColor="text1"/>
        </w:rPr>
      </w:pPr>
      <w:r>
        <w:rPr>
          <w:rFonts w:ascii="David" w:hAnsi="David"/>
          <w:noProof w:val="0"/>
          <w:color w:val="000000" w:themeColor="text1"/>
          <w:rtl/>
        </w:rPr>
        <w:t xml:space="preserve">פרשנות הביטוי "מיועדת למגורים לפי טיבה" ויישום המבחן האובייקטיבי חייבים להיעשות בהתחשב בתכלית החוק בהקניית הטבה לנכס מסוג דירת מגורים. עמד על כך כבוד השופט </w:t>
      </w:r>
      <w:r w:rsidR="00010424">
        <w:rPr>
          <w:rFonts w:ascii="David" w:hAnsi="David" w:hint="cs"/>
          <w:noProof w:val="0"/>
          <w:color w:val="000000" w:themeColor="text1"/>
          <w:rtl/>
        </w:rPr>
        <w:t xml:space="preserve">י' </w:t>
      </w:r>
      <w:r>
        <w:rPr>
          <w:rFonts w:ascii="David" w:hAnsi="David"/>
          <w:noProof w:val="0"/>
          <w:color w:val="000000" w:themeColor="text1"/>
          <w:rtl/>
        </w:rPr>
        <w:t xml:space="preserve">עמית בע"א 1046/12 </w:t>
      </w:r>
      <w:r>
        <w:rPr>
          <w:rFonts w:ascii="David" w:hAnsi="David"/>
          <w:b/>
          <w:bCs/>
          <w:noProof w:val="0"/>
          <w:color w:val="000000" w:themeColor="text1"/>
          <w:rtl/>
        </w:rPr>
        <w:t>חכים ואח'</w:t>
      </w:r>
      <w:r>
        <w:rPr>
          <w:rFonts w:ascii="David" w:hAnsi="David"/>
          <w:noProof w:val="0"/>
          <w:color w:val="000000" w:themeColor="text1"/>
          <w:rtl/>
        </w:rPr>
        <w:t xml:space="preserve"> </w:t>
      </w:r>
      <w:r>
        <w:rPr>
          <w:rFonts w:ascii="David" w:hAnsi="David"/>
          <w:b/>
          <w:bCs/>
          <w:noProof w:val="0"/>
          <w:color w:val="000000" w:themeColor="text1"/>
          <w:rtl/>
        </w:rPr>
        <w:t>נ'</w:t>
      </w:r>
      <w:r>
        <w:rPr>
          <w:rFonts w:ascii="David" w:hAnsi="David"/>
          <w:noProof w:val="0"/>
          <w:color w:val="000000" w:themeColor="text1"/>
          <w:rtl/>
        </w:rPr>
        <w:t xml:space="preserve"> </w:t>
      </w:r>
      <w:r>
        <w:rPr>
          <w:rFonts w:ascii="David" w:hAnsi="David"/>
          <w:b/>
          <w:bCs/>
          <w:noProof w:val="0"/>
          <w:color w:val="000000" w:themeColor="text1"/>
          <w:rtl/>
        </w:rPr>
        <w:t>מנהל מיסוי מקרקעין נתניה</w:t>
      </w:r>
      <w:r>
        <w:rPr>
          <w:rFonts w:ascii="David" w:hAnsi="David"/>
          <w:noProof w:val="0"/>
          <w:color w:val="000000" w:themeColor="text1"/>
          <w:rtl/>
        </w:rPr>
        <w:t xml:space="preserve"> (21.2.2014):</w:t>
      </w:r>
    </w:p>
    <w:p w:rsidR="00010424" w:rsidRPr="00010424" w:rsidRDefault="00010424" w:rsidP="00010424">
      <w:pPr>
        <w:pStyle w:val="ad"/>
        <w:shd w:val="clear" w:color="auto" w:fill="FFFFFF"/>
        <w:spacing w:before="100" w:beforeAutospacing="1" w:after="100" w:afterAutospacing="1" w:line="360" w:lineRule="auto"/>
        <w:jc w:val="both"/>
        <w:rPr>
          <w:rFonts w:ascii="David" w:hAnsi="David"/>
          <w:noProof w:val="0"/>
          <w:color w:val="000000" w:themeColor="text1"/>
          <w:rtl/>
        </w:rPr>
      </w:pPr>
    </w:p>
    <w:p w:rsidR="0005774A" w:rsidRPr="00010424" w:rsidRDefault="0005774A" w:rsidP="00010424">
      <w:pPr>
        <w:pStyle w:val="ad"/>
        <w:shd w:val="clear" w:color="auto" w:fill="FFFFFF"/>
        <w:spacing w:before="100" w:beforeAutospacing="1" w:after="100" w:afterAutospacing="1" w:line="360" w:lineRule="auto"/>
        <w:ind w:left="1417" w:right="1417"/>
        <w:jc w:val="both"/>
        <w:rPr>
          <w:rFonts w:ascii="David" w:hAnsi="David"/>
          <w:b/>
          <w:bCs/>
          <w:noProof w:val="0"/>
          <w:color w:val="000000" w:themeColor="text1"/>
        </w:rPr>
      </w:pPr>
      <w:r w:rsidRPr="00010424">
        <w:rPr>
          <w:rFonts w:ascii="David" w:hAnsi="David"/>
          <w:b/>
          <w:bCs/>
          <w:color w:val="000000"/>
          <w:rtl/>
        </w:rPr>
        <w:t>"[...] מבחן 'המתקנים הפיזיים' כשלעצמו אינו ממצה [...</w:t>
      </w:r>
      <w:r w:rsidRPr="00010424">
        <w:rPr>
          <w:b/>
          <w:bCs/>
          <w:color w:val="000000"/>
          <w:rtl/>
        </w:rPr>
        <w:t xml:space="preserve">] </w:t>
      </w:r>
      <w:r w:rsidRPr="00010424">
        <w:rPr>
          <w:rFonts w:ascii="David" w:hAnsi="David"/>
          <w:b/>
          <w:bCs/>
          <w:color w:val="000000"/>
          <w:rtl/>
        </w:rPr>
        <w:t>הנה כי כן, הנשיא ברק הבהיר כי המבחן האובייקטיבי אינו מבחן של אביזרים גרידא, אלא כרך את התוצאה עם תכליתו של הפטור, אשר ניתן כזכור 'מטעמים סוציאליים וחברתיים' [...</w:t>
      </w:r>
      <w:r w:rsidRPr="00010424">
        <w:rPr>
          <w:b/>
          <w:bCs/>
          <w:color w:val="000000"/>
          <w:rtl/>
        </w:rPr>
        <w:t xml:space="preserve">] </w:t>
      </w:r>
      <w:r w:rsidRPr="00010424">
        <w:rPr>
          <w:rFonts w:ascii="David" w:hAnsi="David"/>
          <w:b/>
          <w:bCs/>
          <w:color w:val="000000"/>
          <w:rtl/>
        </w:rPr>
        <w:t>אך איני רואה מניעה להסיק כי ייתכנו מצבים בהם יישום המבחן יוביל לתוצאה לפיה דירה המכילה את המתקנים הפיזיים הדרושים </w:t>
      </w:r>
      <w:r w:rsidRPr="00010424">
        <w:rPr>
          <w:rFonts w:ascii="David" w:hAnsi="David"/>
          <w:b/>
          <w:bCs/>
          <w:color w:val="000000"/>
          <w:u w:val="single"/>
          <w:rtl/>
        </w:rPr>
        <w:t>לא תהווה</w:t>
      </w:r>
      <w:r w:rsidRPr="00010424">
        <w:rPr>
          <w:rFonts w:ascii="David" w:hAnsi="David"/>
          <w:b/>
          <w:bCs/>
          <w:color w:val="000000"/>
          <w:rtl/>
        </w:rPr>
        <w:t> דירת מגורים [...]"</w:t>
      </w:r>
      <w:r w:rsidRPr="00010424">
        <w:rPr>
          <w:b/>
          <w:bCs/>
          <w:color w:val="000000"/>
          <w:rtl/>
        </w:rPr>
        <w:t xml:space="preserve"> </w:t>
      </w:r>
      <w:r w:rsidRPr="00010424">
        <w:rPr>
          <w:rFonts w:ascii="David" w:hAnsi="David"/>
          <w:color w:val="000000"/>
          <w:rtl/>
        </w:rPr>
        <w:t>(</w:t>
      </w:r>
      <w:r w:rsidR="00010424">
        <w:rPr>
          <w:rFonts w:ascii="David" w:hAnsi="David" w:hint="cs"/>
          <w:color w:val="000000"/>
          <w:rtl/>
        </w:rPr>
        <w:t xml:space="preserve">פסקאות </w:t>
      </w:r>
      <w:r w:rsidRPr="00010424">
        <w:rPr>
          <w:rFonts w:ascii="David" w:hAnsi="David"/>
          <w:color w:val="000000"/>
          <w:rtl/>
        </w:rPr>
        <w:t>19, 28-29 לפסק הדין).</w:t>
      </w:r>
    </w:p>
    <w:p w:rsidR="0005774A" w:rsidRDefault="0005774A" w:rsidP="0005774A">
      <w:pPr>
        <w:pStyle w:val="ad"/>
        <w:shd w:val="clear" w:color="auto" w:fill="FFFFFF"/>
        <w:spacing w:before="100" w:beforeAutospacing="1" w:after="100" w:afterAutospacing="1" w:line="360" w:lineRule="auto"/>
        <w:jc w:val="both"/>
        <w:rPr>
          <w:rFonts w:ascii="David" w:hAnsi="David"/>
          <w:noProof w:val="0"/>
          <w:color w:val="000000" w:themeColor="text1"/>
          <w:rtl/>
        </w:rPr>
      </w:pPr>
    </w:p>
    <w:p w:rsidR="0005774A" w:rsidRDefault="0005774A" w:rsidP="0005774A">
      <w:pPr>
        <w:pStyle w:val="ad"/>
        <w:numPr>
          <w:ilvl w:val="0"/>
          <w:numId w:val="1"/>
        </w:numPr>
        <w:shd w:val="clear" w:color="auto" w:fill="FFFFFF"/>
        <w:spacing w:before="100" w:beforeAutospacing="1" w:after="100" w:afterAutospacing="1" w:line="360" w:lineRule="auto"/>
        <w:jc w:val="both"/>
        <w:rPr>
          <w:rFonts w:ascii="David" w:hAnsi="David"/>
          <w:noProof w:val="0"/>
          <w:color w:val="000000" w:themeColor="text1"/>
        </w:rPr>
      </w:pPr>
      <w:r>
        <w:rPr>
          <w:rFonts w:ascii="David" w:hAnsi="David"/>
          <w:noProof w:val="0"/>
          <w:color w:val="000000" w:themeColor="text1"/>
          <w:rtl/>
        </w:rPr>
        <w:t>לאחר בחינת תכליות החוק, הגיע כבוד השופט עמית למסקנה, כי יש לפרש את המונח "מגורים" כמכוון ל"</w:t>
      </w:r>
      <w:r>
        <w:rPr>
          <w:rFonts w:ascii="David" w:hAnsi="David"/>
          <w:b/>
          <w:bCs/>
          <w:noProof w:val="0"/>
          <w:color w:val="000000" w:themeColor="text1"/>
          <w:rtl/>
        </w:rPr>
        <w:t>מגורי קבע</w:t>
      </w:r>
      <w:r>
        <w:rPr>
          <w:rFonts w:ascii="David" w:hAnsi="David"/>
          <w:noProof w:val="0"/>
          <w:color w:val="000000" w:themeColor="text1"/>
          <w:rtl/>
        </w:rPr>
        <w:t>", וכך נקבע:</w:t>
      </w:r>
    </w:p>
    <w:p w:rsidR="00F81524" w:rsidRDefault="00F81524" w:rsidP="00F81524">
      <w:pPr>
        <w:pStyle w:val="ad"/>
        <w:shd w:val="clear" w:color="auto" w:fill="FFFFFF"/>
        <w:spacing w:before="100" w:beforeAutospacing="1" w:after="100" w:afterAutospacing="1" w:line="360" w:lineRule="auto"/>
        <w:jc w:val="both"/>
        <w:rPr>
          <w:rFonts w:ascii="David" w:hAnsi="David"/>
          <w:noProof w:val="0"/>
          <w:color w:val="000000" w:themeColor="text1"/>
          <w:rtl/>
        </w:rPr>
      </w:pPr>
    </w:p>
    <w:p w:rsidR="0005774A" w:rsidRPr="00010424" w:rsidRDefault="0005774A" w:rsidP="00010424">
      <w:pPr>
        <w:pStyle w:val="ad"/>
        <w:shd w:val="clear" w:color="auto" w:fill="FFFFFF"/>
        <w:spacing w:before="100" w:beforeAutospacing="1" w:after="100" w:afterAutospacing="1" w:line="360" w:lineRule="auto"/>
        <w:ind w:left="1417" w:right="1417"/>
        <w:jc w:val="both"/>
        <w:rPr>
          <w:rFonts w:ascii="David" w:hAnsi="David"/>
          <w:color w:val="000000"/>
          <w:shd w:val="clear" w:color="auto" w:fill="FFFFFF"/>
          <w:rtl/>
        </w:rPr>
      </w:pPr>
      <w:r w:rsidRPr="00010424">
        <w:rPr>
          <w:rFonts w:ascii="David" w:hAnsi="David"/>
          <w:b/>
          <w:bCs/>
          <w:color w:val="000000"/>
          <w:shd w:val="clear" w:color="auto" w:fill="FFFFFF"/>
        </w:rPr>
        <w:t>"</w:t>
      </w:r>
      <w:r w:rsidRPr="00010424">
        <w:rPr>
          <w:rFonts w:ascii="David" w:hAnsi="David"/>
          <w:b/>
          <w:bCs/>
          <w:color w:val="000000"/>
          <w:shd w:val="clear" w:color="auto" w:fill="FFFFFF"/>
          <w:rtl/>
        </w:rPr>
        <w:t xml:space="preserve">תכליתו של הפטור ממס שבח בגין מכירת דירת מגורים היא סוציאלית, והוא בא לעולם מתוך הסתכלות על דירת המגורים של המשפחה המשמשת למגורי הקבע שלה [...]" </w:t>
      </w:r>
      <w:r w:rsidRPr="00010424">
        <w:rPr>
          <w:rFonts w:ascii="David" w:hAnsi="David"/>
          <w:color w:val="000000"/>
          <w:shd w:val="clear" w:color="auto" w:fill="FFFFFF"/>
          <w:rtl/>
        </w:rPr>
        <w:t>(</w:t>
      </w:r>
      <w:r w:rsidR="00010424">
        <w:rPr>
          <w:rFonts w:ascii="David" w:hAnsi="David" w:hint="cs"/>
          <w:color w:val="000000"/>
          <w:shd w:val="clear" w:color="auto" w:fill="FFFFFF"/>
          <w:rtl/>
        </w:rPr>
        <w:t xml:space="preserve">פסקה </w:t>
      </w:r>
      <w:r w:rsidRPr="00010424">
        <w:rPr>
          <w:rFonts w:ascii="David" w:hAnsi="David"/>
          <w:color w:val="000000"/>
          <w:shd w:val="clear" w:color="auto" w:fill="FFFFFF"/>
          <w:rtl/>
        </w:rPr>
        <w:t>30 לפסק הדין).</w:t>
      </w:r>
    </w:p>
    <w:p w:rsidR="0005774A" w:rsidRDefault="0005774A" w:rsidP="0005774A">
      <w:pPr>
        <w:pStyle w:val="ad"/>
        <w:shd w:val="clear" w:color="auto" w:fill="FFFFFF"/>
        <w:spacing w:before="100" w:beforeAutospacing="1" w:after="100" w:afterAutospacing="1" w:line="360" w:lineRule="auto"/>
        <w:ind w:left="1417" w:right="1417"/>
        <w:jc w:val="both"/>
        <w:rPr>
          <w:rFonts w:ascii="David" w:hAnsi="David"/>
          <w:noProof w:val="0"/>
          <w:color w:val="000000" w:themeColor="text1"/>
          <w:rtl/>
        </w:rPr>
      </w:pPr>
    </w:p>
    <w:p w:rsidR="0005774A" w:rsidRDefault="0005774A" w:rsidP="0005774A">
      <w:pPr>
        <w:pStyle w:val="ad"/>
        <w:numPr>
          <w:ilvl w:val="0"/>
          <w:numId w:val="1"/>
        </w:numPr>
        <w:shd w:val="clear" w:color="auto" w:fill="FFFFFF"/>
        <w:spacing w:before="100" w:beforeAutospacing="1" w:after="100" w:afterAutospacing="1" w:line="360" w:lineRule="auto"/>
        <w:jc w:val="both"/>
        <w:rPr>
          <w:rFonts w:ascii="David" w:hAnsi="David"/>
          <w:noProof w:val="0"/>
          <w:color w:val="000000" w:themeColor="text1"/>
          <w:rtl/>
        </w:rPr>
      </w:pPr>
      <w:r>
        <w:rPr>
          <w:rFonts w:ascii="David" w:hAnsi="David"/>
          <w:noProof w:val="0"/>
          <w:color w:val="000000" w:themeColor="text1"/>
          <w:rtl/>
        </w:rPr>
        <w:t>פסק דין</w:t>
      </w:r>
      <w:r w:rsidR="00010424">
        <w:rPr>
          <w:rFonts w:ascii="David" w:hAnsi="David" w:hint="cs"/>
          <w:noProof w:val="0"/>
          <w:color w:val="000000" w:themeColor="text1"/>
          <w:rtl/>
        </w:rPr>
        <w:t xml:space="preserve"> בעניין</w:t>
      </w:r>
      <w:r>
        <w:rPr>
          <w:rFonts w:ascii="David" w:hAnsi="David"/>
          <w:noProof w:val="0"/>
          <w:color w:val="000000" w:themeColor="text1"/>
          <w:rtl/>
        </w:rPr>
        <w:t xml:space="preserve"> </w:t>
      </w:r>
      <w:r>
        <w:rPr>
          <w:rFonts w:ascii="David" w:hAnsi="David"/>
          <w:b/>
          <w:bCs/>
          <w:noProof w:val="0"/>
          <w:color w:val="000000" w:themeColor="text1"/>
          <w:rtl/>
        </w:rPr>
        <w:t>חכים</w:t>
      </w:r>
      <w:r>
        <w:rPr>
          <w:rFonts w:ascii="David" w:hAnsi="David"/>
          <w:noProof w:val="0"/>
          <w:color w:val="000000" w:themeColor="text1"/>
          <w:rtl/>
        </w:rPr>
        <w:t xml:space="preserve"> הוסיף והפנה לדברי ההסבר במסגרת תיקון מספר 8 לחוק:</w:t>
      </w:r>
    </w:p>
    <w:p w:rsidR="00010424" w:rsidRDefault="00010424" w:rsidP="0005774A">
      <w:pPr>
        <w:pStyle w:val="ad"/>
        <w:shd w:val="clear" w:color="auto" w:fill="FFFFFF"/>
        <w:spacing w:before="100" w:beforeAutospacing="1" w:after="100" w:afterAutospacing="1" w:line="360" w:lineRule="auto"/>
        <w:ind w:left="1417" w:right="1417"/>
        <w:jc w:val="both"/>
        <w:rPr>
          <w:rFonts w:ascii="David" w:hAnsi="David"/>
          <w:b/>
          <w:bCs/>
          <w:noProof w:val="0"/>
          <w:color w:val="000000" w:themeColor="text1"/>
          <w:rtl/>
        </w:rPr>
      </w:pPr>
    </w:p>
    <w:p w:rsidR="0005774A" w:rsidRPr="00010424" w:rsidRDefault="0005774A" w:rsidP="0005774A">
      <w:pPr>
        <w:pStyle w:val="ad"/>
        <w:shd w:val="clear" w:color="auto" w:fill="FFFFFF"/>
        <w:spacing w:before="100" w:beforeAutospacing="1" w:after="100" w:afterAutospacing="1" w:line="360" w:lineRule="auto"/>
        <w:ind w:left="1417" w:right="1417"/>
        <w:jc w:val="both"/>
        <w:rPr>
          <w:rFonts w:ascii="David" w:hAnsi="David"/>
          <w:b/>
          <w:bCs/>
          <w:noProof w:val="0"/>
          <w:color w:val="000000" w:themeColor="text1"/>
        </w:rPr>
      </w:pPr>
      <w:r w:rsidRPr="00010424">
        <w:rPr>
          <w:rFonts w:ascii="David" w:hAnsi="David"/>
          <w:b/>
          <w:bCs/>
          <w:noProof w:val="0"/>
          <w:color w:val="000000" w:themeColor="text1"/>
          <w:rtl/>
        </w:rPr>
        <w:t>"הגישה החדשה המוצעת מבוססת על העקרון שדירת המגורים של המשפחה המשמשת למגורי הקבע שלה, היא נכס פרטי לשימושם האישי של בעליה ולא נכס השקעה, ומשום כך אין להטיל מס במכירתה" (עמוד 143 להצעה לתיקון מספר 8 לחוק).</w:t>
      </w:r>
    </w:p>
    <w:p w:rsidR="0005774A" w:rsidRDefault="0005774A" w:rsidP="0005774A">
      <w:pPr>
        <w:pStyle w:val="ad"/>
        <w:shd w:val="clear" w:color="auto" w:fill="FFFFFF"/>
        <w:spacing w:before="100" w:beforeAutospacing="1" w:after="100" w:afterAutospacing="1" w:line="360" w:lineRule="auto"/>
        <w:ind w:left="1417" w:right="1417"/>
        <w:jc w:val="both"/>
        <w:rPr>
          <w:rFonts w:ascii="David" w:hAnsi="David"/>
          <w:noProof w:val="0"/>
          <w:color w:val="000000" w:themeColor="text1"/>
          <w:rtl/>
        </w:rPr>
      </w:pPr>
    </w:p>
    <w:p w:rsidR="0005774A" w:rsidRDefault="0005774A" w:rsidP="00010424">
      <w:pPr>
        <w:pStyle w:val="ad"/>
        <w:numPr>
          <w:ilvl w:val="0"/>
          <w:numId w:val="1"/>
        </w:numPr>
        <w:shd w:val="clear" w:color="auto" w:fill="FFFFFF"/>
        <w:spacing w:before="100" w:beforeAutospacing="1" w:after="100" w:afterAutospacing="1" w:line="360" w:lineRule="auto"/>
        <w:jc w:val="both"/>
        <w:rPr>
          <w:rFonts w:ascii="David" w:hAnsi="David"/>
          <w:noProof w:val="0"/>
          <w:color w:val="000000" w:themeColor="text1"/>
          <w:rtl/>
        </w:rPr>
      </w:pPr>
      <w:r>
        <w:rPr>
          <w:rFonts w:ascii="David" w:hAnsi="David"/>
          <w:rtl/>
        </w:rPr>
        <w:t xml:space="preserve">במסגרת תיקון 34 לחוק, הוסיף המחוקק תנאי נוסף לקבלת </w:t>
      </w:r>
      <w:r w:rsidR="00010424">
        <w:rPr>
          <w:rFonts w:ascii="David" w:hAnsi="David" w:hint="cs"/>
          <w:rtl/>
        </w:rPr>
        <w:t xml:space="preserve">הקלה בחישוב המס </w:t>
      </w:r>
      <w:r>
        <w:rPr>
          <w:rFonts w:ascii="David" w:hAnsi="David"/>
          <w:rtl/>
        </w:rPr>
        <w:t>והוא שהדירה הנמכרת מהווה "</w:t>
      </w:r>
      <w:r>
        <w:rPr>
          <w:rFonts w:ascii="David" w:hAnsi="David"/>
          <w:b/>
          <w:bCs/>
          <w:rtl/>
        </w:rPr>
        <w:t>דירת מגורים מזכה</w:t>
      </w:r>
      <w:r>
        <w:rPr>
          <w:rFonts w:ascii="David" w:hAnsi="David"/>
          <w:rtl/>
        </w:rPr>
        <w:t>". "דירת מגורים מזכה" הוגדרה</w:t>
      </w:r>
      <w:r w:rsidR="00010424">
        <w:rPr>
          <w:rFonts w:hint="cs"/>
          <w:rtl/>
        </w:rPr>
        <w:t xml:space="preserve"> בסעיף </w:t>
      </w:r>
      <w:r>
        <w:rPr>
          <w:rFonts w:ascii="David" w:hAnsi="David"/>
          <w:rtl/>
        </w:rPr>
        <w:t xml:space="preserve">49(א) לחוק כך: </w:t>
      </w:r>
    </w:p>
    <w:p w:rsidR="0005774A" w:rsidRDefault="0005774A" w:rsidP="0005774A">
      <w:pPr>
        <w:spacing w:line="360" w:lineRule="auto"/>
        <w:ind w:left="2137" w:right="1417" w:hanging="720"/>
        <w:jc w:val="both"/>
        <w:rPr>
          <w:rFonts w:ascii="David" w:hAnsi="David"/>
          <w:b/>
          <w:bCs/>
          <w:noProof w:val="0"/>
          <w:rtl/>
        </w:rPr>
      </w:pPr>
      <w:r>
        <w:rPr>
          <w:rFonts w:ascii="David" w:hAnsi="David"/>
          <w:noProof w:val="0"/>
          <w:rtl/>
        </w:rPr>
        <w:tab/>
      </w:r>
      <w:r>
        <w:rPr>
          <w:rFonts w:ascii="David" w:hAnsi="David"/>
          <w:b/>
          <w:bCs/>
          <w:noProof w:val="0"/>
          <w:rtl/>
        </w:rPr>
        <w:t xml:space="preserve">"דירת מגורים מזכה – דירת מגורים ששימשה בעיקרה למגורים לפחות באחת משתי התקופות שלהלן: </w:t>
      </w:r>
    </w:p>
    <w:p w:rsidR="0005774A" w:rsidRDefault="0005774A" w:rsidP="0005774A">
      <w:pPr>
        <w:spacing w:line="360" w:lineRule="auto"/>
        <w:ind w:left="2137" w:right="1417" w:hanging="720"/>
        <w:jc w:val="both"/>
        <w:rPr>
          <w:rFonts w:ascii="David" w:hAnsi="David"/>
          <w:b/>
          <w:bCs/>
          <w:noProof w:val="0"/>
          <w:rtl/>
        </w:rPr>
      </w:pPr>
      <w:r>
        <w:rPr>
          <w:rFonts w:ascii="David" w:hAnsi="David"/>
          <w:b/>
          <w:bCs/>
          <w:noProof w:val="0"/>
          <w:rtl/>
        </w:rPr>
        <w:tab/>
      </w:r>
      <w:r>
        <w:rPr>
          <w:rFonts w:ascii="David" w:hAnsi="David"/>
          <w:b/>
          <w:bCs/>
          <w:noProof w:val="0"/>
          <w:rtl/>
        </w:rPr>
        <w:tab/>
        <w:t>(1) ארבע חמישיות מהתקופה שבשלה מחושב השבח;</w:t>
      </w:r>
    </w:p>
    <w:p w:rsidR="0005774A" w:rsidRDefault="0005774A" w:rsidP="0005774A">
      <w:pPr>
        <w:spacing w:line="360" w:lineRule="auto"/>
        <w:ind w:left="2137" w:right="1417" w:hanging="720"/>
        <w:jc w:val="both"/>
        <w:rPr>
          <w:rFonts w:ascii="David" w:hAnsi="David"/>
          <w:b/>
          <w:bCs/>
          <w:noProof w:val="0"/>
          <w:rtl/>
        </w:rPr>
      </w:pPr>
      <w:r>
        <w:rPr>
          <w:rFonts w:ascii="David" w:hAnsi="David"/>
          <w:b/>
          <w:bCs/>
          <w:noProof w:val="0"/>
          <w:rtl/>
        </w:rPr>
        <w:tab/>
      </w:r>
      <w:r>
        <w:rPr>
          <w:rFonts w:ascii="David" w:hAnsi="David"/>
          <w:b/>
          <w:bCs/>
          <w:noProof w:val="0"/>
          <w:rtl/>
        </w:rPr>
        <w:tab/>
        <w:t xml:space="preserve">(2) ארבע השנים שקדמו למכירתה;" </w:t>
      </w:r>
    </w:p>
    <w:p w:rsidR="0005774A" w:rsidRDefault="0005774A" w:rsidP="0005774A">
      <w:pPr>
        <w:spacing w:line="360" w:lineRule="auto"/>
        <w:ind w:left="1417" w:right="1417"/>
        <w:jc w:val="both"/>
        <w:rPr>
          <w:rFonts w:ascii="David" w:hAnsi="David"/>
          <w:b/>
          <w:bCs/>
          <w:noProof w:val="0"/>
          <w:sz w:val="22"/>
          <w:szCs w:val="22"/>
          <w:rtl/>
        </w:rPr>
      </w:pPr>
      <w:r>
        <w:rPr>
          <w:rFonts w:ascii="David" w:hAnsi="David"/>
          <w:b/>
          <w:bCs/>
          <w:color w:val="000000"/>
          <w:rtl/>
        </w:rPr>
        <w:t xml:space="preserve">לענין הגדרה זו, יראו תקופה שבה לא נעשה בדירה שימוש כלשהו, או תקופה שבה שימשה הדירה לפעולות חינוך, לרבות פעוטון, או דת כפי שקבע שר האוצר, באישור ועדת הכספים של הכנסת, </w:t>
      </w:r>
      <w:r>
        <w:rPr>
          <w:rFonts w:ascii="David" w:hAnsi="David"/>
          <w:b/>
          <w:bCs/>
          <w:color w:val="000000"/>
          <w:rtl/>
        </w:rPr>
        <w:lastRenderedPageBreak/>
        <w:t>כתקופה שבה שימשה הדירה למגורים; לענין התקופה הקבועה בפסקה (1) – לא תובא בחשבון תקופה שקדמה ליום הקובע, ולענין התקופה הקבועה בפסקה (2) – לא תובא בחשבון תקופה כאמור, אם ביקש זאת המוכר</w:t>
      </w:r>
      <w:r>
        <w:rPr>
          <w:rFonts w:ascii="David" w:hAnsi="David"/>
          <w:b/>
          <w:bCs/>
          <w:color w:val="000000"/>
        </w:rPr>
        <w:t>.</w:t>
      </w:r>
    </w:p>
    <w:p w:rsidR="0005774A" w:rsidRDefault="0005774A" w:rsidP="0005774A">
      <w:pPr>
        <w:pStyle w:val="ad"/>
        <w:numPr>
          <w:ilvl w:val="0"/>
          <w:numId w:val="1"/>
        </w:numPr>
        <w:shd w:val="clear" w:color="auto" w:fill="FFFFFF"/>
        <w:spacing w:before="100" w:beforeAutospacing="1" w:after="100" w:afterAutospacing="1" w:line="360" w:lineRule="auto"/>
        <w:jc w:val="both"/>
        <w:rPr>
          <w:rFonts w:ascii="David" w:hAnsi="David"/>
          <w:noProof w:val="0"/>
          <w:color w:val="000000" w:themeColor="text1"/>
        </w:rPr>
      </w:pPr>
      <w:r>
        <w:rPr>
          <w:rFonts w:ascii="David" w:hAnsi="David"/>
          <w:noProof w:val="0"/>
          <w:color w:val="000000" w:themeColor="text1"/>
          <w:rtl/>
        </w:rPr>
        <w:t>הגדרת דירת מגורים מזכה מוסיפה שני יסודות נוספים על היסודות הקיימים בהגדרת דירת מגורים. האחד</w:t>
      </w:r>
      <w:r w:rsidR="00010424">
        <w:rPr>
          <w:rFonts w:ascii="David" w:hAnsi="David" w:hint="cs"/>
          <w:noProof w:val="0"/>
          <w:color w:val="000000" w:themeColor="text1"/>
          <w:rtl/>
        </w:rPr>
        <w:t>,</w:t>
      </w:r>
      <w:r>
        <w:rPr>
          <w:rFonts w:ascii="David" w:hAnsi="David"/>
          <w:noProof w:val="0"/>
          <w:color w:val="000000" w:themeColor="text1"/>
          <w:rtl/>
        </w:rPr>
        <w:t xml:space="preserve"> הוא קביעת פרק הזמן המינימלי לפיו יוכרע שימוש שעיקרו מגורים והשני</w:t>
      </w:r>
      <w:r w:rsidR="00010424">
        <w:rPr>
          <w:rFonts w:ascii="David" w:hAnsi="David" w:hint="cs"/>
          <w:noProof w:val="0"/>
          <w:color w:val="000000" w:themeColor="text1"/>
          <w:rtl/>
        </w:rPr>
        <w:t>,</w:t>
      </w:r>
      <w:r>
        <w:rPr>
          <w:rFonts w:ascii="David" w:hAnsi="David"/>
          <w:noProof w:val="0"/>
          <w:color w:val="000000" w:themeColor="text1"/>
          <w:rtl/>
        </w:rPr>
        <w:t xml:space="preserve"> קביעת שימושים נוספים אשר יחשבו כשימוש למגורים</w:t>
      </w:r>
      <w:r w:rsidR="00010424">
        <w:rPr>
          <w:rFonts w:ascii="David" w:hAnsi="David" w:hint="cs"/>
          <w:noProof w:val="0"/>
          <w:color w:val="000000" w:themeColor="text1"/>
          <w:rtl/>
        </w:rPr>
        <w:t>,</w:t>
      </w:r>
      <w:r>
        <w:rPr>
          <w:rFonts w:ascii="David" w:hAnsi="David"/>
          <w:noProof w:val="0"/>
          <w:color w:val="000000" w:themeColor="text1"/>
          <w:rtl/>
        </w:rPr>
        <w:t xml:space="preserve"> לעניין ההקלה או הפטור. התנאים שמנינו עד כה הם מצטברים זה לזה, ועל-מנת לזכות בפטור או הקלה במס יש לעמוד בכולם.</w:t>
      </w:r>
    </w:p>
    <w:p w:rsidR="0005774A" w:rsidRDefault="0005774A" w:rsidP="0005774A">
      <w:pPr>
        <w:pStyle w:val="ad"/>
        <w:shd w:val="clear" w:color="auto" w:fill="FFFFFF"/>
        <w:spacing w:before="100" w:beforeAutospacing="1" w:after="100" w:afterAutospacing="1" w:line="360" w:lineRule="auto"/>
        <w:jc w:val="both"/>
        <w:rPr>
          <w:rFonts w:ascii="David" w:hAnsi="David"/>
          <w:noProof w:val="0"/>
          <w:color w:val="000000" w:themeColor="text1"/>
        </w:rPr>
      </w:pPr>
    </w:p>
    <w:p w:rsidR="0005774A" w:rsidRDefault="0005774A" w:rsidP="0005774A">
      <w:pPr>
        <w:pStyle w:val="ad"/>
        <w:numPr>
          <w:ilvl w:val="0"/>
          <w:numId w:val="1"/>
        </w:numPr>
        <w:shd w:val="clear" w:color="auto" w:fill="FFFFFF"/>
        <w:spacing w:before="100" w:beforeAutospacing="1" w:after="100" w:afterAutospacing="1" w:line="360" w:lineRule="auto"/>
        <w:jc w:val="both"/>
        <w:rPr>
          <w:rFonts w:ascii="David" w:hAnsi="David"/>
          <w:noProof w:val="0"/>
          <w:color w:val="000000" w:themeColor="text1"/>
        </w:rPr>
      </w:pPr>
      <w:r>
        <w:rPr>
          <w:rFonts w:ascii="David" w:hAnsi="David"/>
          <w:noProof w:val="0"/>
          <w:color w:val="000000" w:themeColor="text1"/>
          <w:rtl/>
        </w:rPr>
        <w:t>תיקון 36 לחוק הרחיב את הגדרת "דירת מגורים מזכה" בסעיף 49 לחוק. עתה תקופה בה הדירה שימשה דירת מגורים לפעולות חינוך, פעוטון או דת, תיחשב כתקופה בה שימשה הדירה למגורים. בקביעת מס שבח מקרקעין (תקופה שבה שימשה הדירה לפעולות חינוך או דת) תשנ"ח-1998, קבע שר האוצר כך:</w:t>
      </w:r>
    </w:p>
    <w:p w:rsidR="00010424" w:rsidRDefault="00010424" w:rsidP="0005774A">
      <w:pPr>
        <w:pStyle w:val="ad"/>
        <w:shd w:val="clear" w:color="auto" w:fill="FFFFFF"/>
        <w:spacing w:before="100" w:beforeAutospacing="1" w:after="100" w:afterAutospacing="1" w:line="360" w:lineRule="auto"/>
        <w:ind w:left="1417" w:right="1417"/>
        <w:jc w:val="both"/>
        <w:rPr>
          <w:rFonts w:ascii="David" w:hAnsi="David"/>
          <w:b/>
          <w:bCs/>
          <w:noProof w:val="0"/>
          <w:color w:val="000000" w:themeColor="text1"/>
          <w:rtl/>
        </w:rPr>
      </w:pPr>
    </w:p>
    <w:p w:rsidR="0005774A" w:rsidRPr="00C51449" w:rsidRDefault="0005774A" w:rsidP="0005774A">
      <w:pPr>
        <w:pStyle w:val="ad"/>
        <w:shd w:val="clear" w:color="auto" w:fill="FFFFFF"/>
        <w:spacing w:before="100" w:beforeAutospacing="1" w:after="100" w:afterAutospacing="1" w:line="360" w:lineRule="auto"/>
        <w:ind w:left="1417" w:right="1417"/>
        <w:jc w:val="both"/>
        <w:rPr>
          <w:rFonts w:ascii="David" w:hAnsi="David"/>
          <w:b/>
          <w:bCs/>
          <w:noProof w:val="0"/>
          <w:color w:val="000000" w:themeColor="text1"/>
        </w:rPr>
      </w:pPr>
      <w:r w:rsidRPr="00010424">
        <w:rPr>
          <w:rFonts w:ascii="David" w:hAnsi="David"/>
          <w:b/>
          <w:bCs/>
          <w:noProof w:val="0"/>
          <w:color w:val="000000" w:themeColor="text1"/>
          <w:rtl/>
        </w:rPr>
        <w:t xml:space="preserve">"תקופה שבה שימשה דירה כבית תפלה בלבד, יראו כתקופה שבה שימשה לפעילות דת; לענין זה, 'תפילה'- לרבות לימוד דת" </w:t>
      </w:r>
      <w:r w:rsidRPr="00C51449">
        <w:rPr>
          <w:rFonts w:ascii="David" w:hAnsi="David"/>
          <w:b/>
          <w:bCs/>
          <w:noProof w:val="0"/>
          <w:color w:val="000000" w:themeColor="text1"/>
          <w:rtl/>
        </w:rPr>
        <w:t>(פסקה 2).</w:t>
      </w:r>
    </w:p>
    <w:p w:rsidR="0005774A" w:rsidRDefault="0005774A" w:rsidP="0005774A">
      <w:pPr>
        <w:pStyle w:val="ad"/>
        <w:shd w:val="clear" w:color="auto" w:fill="FFFFFF"/>
        <w:spacing w:before="100" w:beforeAutospacing="1" w:after="100" w:afterAutospacing="1" w:line="360" w:lineRule="auto"/>
        <w:jc w:val="both"/>
        <w:rPr>
          <w:rFonts w:ascii="David" w:hAnsi="David"/>
          <w:noProof w:val="0"/>
          <w:color w:val="000000" w:themeColor="text1"/>
          <w:rtl/>
        </w:rPr>
      </w:pPr>
    </w:p>
    <w:p w:rsidR="0005774A" w:rsidRPr="00BC1DBA" w:rsidRDefault="0005774A" w:rsidP="00BC1DBA">
      <w:pPr>
        <w:pStyle w:val="ad"/>
        <w:numPr>
          <w:ilvl w:val="0"/>
          <w:numId w:val="1"/>
        </w:numPr>
        <w:shd w:val="clear" w:color="auto" w:fill="FFFFFF"/>
        <w:spacing w:before="100" w:beforeAutospacing="1" w:after="100" w:afterAutospacing="1" w:line="360" w:lineRule="auto"/>
        <w:jc w:val="both"/>
        <w:rPr>
          <w:rFonts w:ascii="David" w:hAnsi="David"/>
          <w:noProof w:val="0"/>
          <w:color w:val="000000" w:themeColor="text1"/>
        </w:rPr>
      </w:pPr>
      <w:r>
        <w:rPr>
          <w:rFonts w:ascii="David" w:hAnsi="David"/>
          <w:noProof w:val="0"/>
          <w:color w:val="000000" w:themeColor="text1"/>
          <w:rtl/>
        </w:rPr>
        <w:t xml:space="preserve">כעולה מן המקובץ לעיל, יש לבחון כל מקרה ומקרה לפי נסיבותיו, תוך הסתכלות על מכלול הדברים הרלוונטיים. </w:t>
      </w:r>
    </w:p>
    <w:p w:rsidR="0005774A" w:rsidRPr="00F81524" w:rsidRDefault="00C51449" w:rsidP="00C51449">
      <w:pPr>
        <w:shd w:val="clear" w:color="auto" w:fill="FFFFFF"/>
        <w:spacing w:before="100" w:beforeAutospacing="1" w:after="100" w:afterAutospacing="1" w:line="360" w:lineRule="auto"/>
        <w:jc w:val="both"/>
        <w:rPr>
          <w:rFonts w:ascii="David" w:hAnsi="David"/>
          <w:noProof w:val="0"/>
          <w:color w:val="000000" w:themeColor="text1"/>
          <w:u w:val="single"/>
          <w:rtl/>
        </w:rPr>
      </w:pPr>
      <w:r w:rsidRPr="00F81524">
        <w:rPr>
          <w:rFonts w:ascii="David" w:hAnsi="David" w:hint="cs"/>
          <w:noProof w:val="0"/>
          <w:color w:val="000000" w:themeColor="text1"/>
          <w:u w:val="single"/>
          <w:rtl/>
        </w:rPr>
        <w:t>האם מדובר בדירת מגורים</w:t>
      </w:r>
    </w:p>
    <w:p w:rsidR="0005774A" w:rsidRPr="00BC1DBA" w:rsidRDefault="0005774A" w:rsidP="00BC1DBA">
      <w:pPr>
        <w:pStyle w:val="ad"/>
        <w:numPr>
          <w:ilvl w:val="0"/>
          <w:numId w:val="1"/>
        </w:numPr>
        <w:shd w:val="clear" w:color="auto" w:fill="FFFFFF"/>
        <w:spacing w:before="100" w:beforeAutospacing="1" w:after="100" w:afterAutospacing="1" w:line="360" w:lineRule="auto"/>
        <w:jc w:val="both"/>
        <w:rPr>
          <w:rFonts w:ascii="David" w:hAnsi="David"/>
          <w:noProof w:val="0"/>
          <w:color w:val="000000" w:themeColor="text1"/>
        </w:rPr>
      </w:pPr>
      <w:r>
        <w:rPr>
          <w:rFonts w:ascii="David" w:hAnsi="David"/>
          <w:noProof w:val="0"/>
          <w:color w:val="000000" w:themeColor="text1"/>
          <w:rtl/>
        </w:rPr>
        <w:t>ראשית</w:t>
      </w:r>
      <w:r w:rsidR="00C51449">
        <w:rPr>
          <w:rFonts w:ascii="David" w:hAnsi="David" w:hint="cs"/>
          <w:noProof w:val="0"/>
          <w:color w:val="000000" w:themeColor="text1"/>
          <w:rtl/>
        </w:rPr>
        <w:t>,</w:t>
      </w:r>
      <w:r>
        <w:rPr>
          <w:rFonts w:ascii="David" w:hAnsi="David"/>
          <w:noProof w:val="0"/>
          <w:color w:val="000000" w:themeColor="text1"/>
          <w:rtl/>
        </w:rPr>
        <w:t xml:space="preserve"> אעמוד בקצרה על טענותיהם הכלליות של העוררים. העוררים טוענים כי הבית מהווה "דירת מגורים" מאחר ומתקיים תנאי </w:t>
      </w:r>
      <w:r>
        <w:rPr>
          <w:rFonts w:ascii="David" w:hAnsi="David"/>
          <w:noProof w:val="0"/>
          <w:color w:val="000000" w:themeColor="text1"/>
          <w:u w:val="single"/>
          <w:rtl/>
        </w:rPr>
        <w:t>השימוש</w:t>
      </w:r>
      <w:r>
        <w:rPr>
          <w:rFonts w:ascii="David" w:hAnsi="David"/>
          <w:noProof w:val="0"/>
          <w:color w:val="000000" w:themeColor="text1"/>
          <w:rtl/>
        </w:rPr>
        <w:t xml:space="preserve"> למגורים כפשוטו- הבית משמש למגורי מתנדבים ונעדר הטעם המסחרי ומאפיינים נוספים המצויים בנכסים אחרים; ומאחר ומתקיים תנאי </w:t>
      </w:r>
      <w:r>
        <w:rPr>
          <w:rFonts w:ascii="David" w:hAnsi="David"/>
          <w:noProof w:val="0"/>
          <w:color w:val="000000" w:themeColor="text1"/>
          <w:u w:val="single"/>
          <w:rtl/>
        </w:rPr>
        <w:t>הייעוד</w:t>
      </w:r>
      <w:r>
        <w:rPr>
          <w:rFonts w:ascii="David" w:hAnsi="David"/>
          <w:noProof w:val="0"/>
          <w:color w:val="000000" w:themeColor="text1"/>
          <w:rtl/>
        </w:rPr>
        <w:t xml:space="preserve"> למגורים</w:t>
      </w:r>
      <w:r w:rsidR="00C51449">
        <w:rPr>
          <w:rFonts w:ascii="David" w:hAnsi="David" w:hint="cs"/>
          <w:noProof w:val="0"/>
          <w:color w:val="000000" w:themeColor="text1"/>
          <w:rtl/>
        </w:rPr>
        <w:t>,</w:t>
      </w:r>
      <w:r>
        <w:rPr>
          <w:rFonts w:ascii="David" w:hAnsi="David"/>
          <w:noProof w:val="0"/>
          <w:color w:val="000000" w:themeColor="text1"/>
          <w:rtl/>
        </w:rPr>
        <w:t xml:space="preserve"> הן באספקט האובייקטיבי והן באספקט הסובייקטיבי. עוד טוענים העוררים, כי אף אם יקבע כי קיים שימוש מעורב, הבית עונה לשימוש של דת ותפילה אשר התיר המחוקק והוסיפו</w:t>
      </w:r>
      <w:r w:rsidR="00C51449">
        <w:rPr>
          <w:rFonts w:ascii="David" w:hAnsi="David" w:hint="cs"/>
          <w:noProof w:val="0"/>
          <w:color w:val="000000" w:themeColor="text1"/>
          <w:rtl/>
        </w:rPr>
        <w:t>,</w:t>
      </w:r>
      <w:r>
        <w:rPr>
          <w:rFonts w:ascii="David" w:hAnsi="David"/>
          <w:noProof w:val="0"/>
          <w:color w:val="000000" w:themeColor="text1"/>
          <w:rtl/>
        </w:rPr>
        <w:t xml:space="preserve"> כי לטענתם הבית עונה על התקופות שנקבעו בסעיף 49(א) ולכן מדובר ב"דירת מגורים מזכה".</w:t>
      </w:r>
    </w:p>
    <w:p w:rsidR="0005774A" w:rsidRDefault="0005774A" w:rsidP="0005774A">
      <w:pPr>
        <w:pStyle w:val="ad"/>
        <w:shd w:val="clear" w:color="auto" w:fill="FFFFFF"/>
        <w:tabs>
          <w:tab w:val="left" w:pos="3733"/>
        </w:tabs>
        <w:spacing w:before="100" w:beforeAutospacing="1" w:after="100" w:afterAutospacing="1" w:line="360" w:lineRule="auto"/>
        <w:jc w:val="both"/>
        <w:rPr>
          <w:rFonts w:ascii="David" w:hAnsi="David"/>
          <w:noProof w:val="0"/>
          <w:color w:val="000000" w:themeColor="text1"/>
        </w:rPr>
      </w:pPr>
    </w:p>
    <w:p w:rsidR="0005774A" w:rsidRDefault="0005774A" w:rsidP="00C51449">
      <w:pPr>
        <w:pStyle w:val="ad"/>
        <w:numPr>
          <w:ilvl w:val="0"/>
          <w:numId w:val="1"/>
        </w:numPr>
        <w:shd w:val="clear" w:color="auto" w:fill="FFFFFF"/>
        <w:tabs>
          <w:tab w:val="left" w:pos="3733"/>
        </w:tabs>
        <w:spacing w:before="100" w:beforeAutospacing="1" w:after="100" w:afterAutospacing="1" w:line="360" w:lineRule="auto"/>
        <w:jc w:val="both"/>
        <w:rPr>
          <w:rFonts w:ascii="David" w:hAnsi="David"/>
          <w:noProof w:val="0"/>
          <w:color w:val="000000" w:themeColor="text1"/>
        </w:rPr>
      </w:pPr>
      <w:r>
        <w:rPr>
          <w:rFonts w:ascii="David" w:hAnsi="David"/>
          <w:noProof w:val="0"/>
          <w:color w:val="000000" w:themeColor="text1"/>
          <w:rtl/>
        </w:rPr>
        <w:t>העוררים טענו כי המתנדבים שוהים בבית שנים ארוכות ומתייחסים לבית כאל בית מגור</w:t>
      </w:r>
      <w:r w:rsidR="00C51449">
        <w:rPr>
          <w:rFonts w:ascii="David" w:hAnsi="David" w:hint="cs"/>
          <w:noProof w:val="0"/>
          <w:color w:val="000000" w:themeColor="text1"/>
          <w:rtl/>
        </w:rPr>
        <w:t>יה</w:t>
      </w:r>
      <w:r>
        <w:rPr>
          <w:rFonts w:ascii="David" w:hAnsi="David"/>
          <w:noProof w:val="0"/>
          <w:color w:val="000000" w:themeColor="text1"/>
          <w:rtl/>
        </w:rPr>
        <w:t>ם. כך</w:t>
      </w:r>
      <w:r w:rsidR="00C51449">
        <w:rPr>
          <w:rFonts w:ascii="David" w:hAnsi="David" w:hint="cs"/>
          <w:noProof w:val="0"/>
          <w:color w:val="000000" w:themeColor="text1"/>
          <w:rtl/>
        </w:rPr>
        <w:t>,</w:t>
      </w:r>
      <w:r>
        <w:rPr>
          <w:rFonts w:ascii="David" w:hAnsi="David"/>
          <w:noProof w:val="0"/>
          <w:color w:val="000000" w:themeColor="text1"/>
          <w:rtl/>
        </w:rPr>
        <w:t xml:space="preserve"> לטענתם, אין לראות בבית כמלונית, מאחר והמתנדבים מבשלים ומכבסים בעצמם ומאחר והמגורים בבית הם ללא תמורה כלל.  </w:t>
      </w:r>
      <w:r w:rsidR="00C51449">
        <w:rPr>
          <w:rFonts w:ascii="David" w:hAnsi="David" w:hint="cs"/>
          <w:noProof w:val="0"/>
          <w:color w:val="000000" w:themeColor="text1"/>
          <w:rtl/>
        </w:rPr>
        <w:t xml:space="preserve">מחומר הראיות שלפנינו, </w:t>
      </w:r>
      <w:r>
        <w:rPr>
          <w:rFonts w:ascii="David" w:hAnsi="David"/>
          <w:noProof w:val="0"/>
          <w:color w:val="000000" w:themeColor="text1"/>
          <w:rtl/>
        </w:rPr>
        <w:t>לא ברור האם במועד מכירת הנכס הוא שימש למגורים, במובן הנדרש בהגדרת "דירת מגורים".</w:t>
      </w:r>
    </w:p>
    <w:p w:rsidR="0005774A" w:rsidRPr="00C51449" w:rsidRDefault="0005774A" w:rsidP="0005774A">
      <w:pPr>
        <w:pStyle w:val="ad"/>
        <w:shd w:val="clear" w:color="auto" w:fill="FFFFFF"/>
        <w:tabs>
          <w:tab w:val="left" w:pos="3733"/>
        </w:tabs>
        <w:spacing w:before="100" w:beforeAutospacing="1" w:after="100" w:afterAutospacing="1" w:line="360" w:lineRule="auto"/>
        <w:jc w:val="both"/>
        <w:rPr>
          <w:rFonts w:ascii="David" w:hAnsi="David"/>
          <w:noProof w:val="0"/>
          <w:color w:val="000000" w:themeColor="text1"/>
        </w:rPr>
      </w:pPr>
    </w:p>
    <w:p w:rsidR="0005774A" w:rsidRDefault="0005774A" w:rsidP="00C51449">
      <w:pPr>
        <w:pStyle w:val="ad"/>
        <w:numPr>
          <w:ilvl w:val="0"/>
          <w:numId w:val="1"/>
        </w:numPr>
        <w:shd w:val="clear" w:color="auto" w:fill="FFFFFF"/>
        <w:tabs>
          <w:tab w:val="left" w:pos="3733"/>
        </w:tabs>
        <w:spacing w:before="100" w:beforeAutospacing="1" w:after="100" w:afterAutospacing="1" w:line="360" w:lineRule="auto"/>
        <w:jc w:val="both"/>
        <w:rPr>
          <w:rFonts w:ascii="David" w:hAnsi="David"/>
          <w:noProof w:val="0"/>
          <w:color w:val="000000" w:themeColor="text1"/>
        </w:rPr>
      </w:pPr>
      <w:r>
        <w:rPr>
          <w:rFonts w:ascii="David" w:hAnsi="David"/>
          <w:noProof w:val="0"/>
          <w:color w:val="000000" w:themeColor="text1"/>
          <w:rtl/>
        </w:rPr>
        <w:t>על פי הסכם השכירות של הנכס (נספח ה' לערר),</w:t>
      </w:r>
      <w:r w:rsidR="00C51449">
        <w:rPr>
          <w:rFonts w:ascii="David" w:hAnsi="David" w:hint="cs"/>
          <w:noProof w:val="0"/>
          <w:color w:val="000000" w:themeColor="text1"/>
          <w:rtl/>
        </w:rPr>
        <w:t xml:space="preserve"> כבר</w:t>
      </w:r>
      <w:r>
        <w:rPr>
          <w:rFonts w:ascii="David" w:hAnsi="David"/>
          <w:noProof w:val="0"/>
          <w:color w:val="000000" w:themeColor="text1"/>
          <w:rtl/>
        </w:rPr>
        <w:t xml:space="preserve"> משנת 2003 </w:t>
      </w:r>
      <w:r w:rsidR="00C51449">
        <w:rPr>
          <w:rFonts w:ascii="David" w:hAnsi="David" w:hint="cs"/>
          <w:noProof w:val="0"/>
          <w:color w:val="000000" w:themeColor="text1"/>
          <w:rtl/>
        </w:rPr>
        <w:t>הו</w:t>
      </w:r>
      <w:r w:rsidR="00C51449">
        <w:rPr>
          <w:rFonts w:ascii="David" w:hAnsi="David"/>
          <w:noProof w:val="0"/>
          <w:color w:val="000000" w:themeColor="text1"/>
          <w:rtl/>
        </w:rPr>
        <w:t>שכר המבנה על ידי העורר לעמותה</w:t>
      </w:r>
      <w:r w:rsidR="00C51449">
        <w:rPr>
          <w:rFonts w:ascii="David" w:hAnsi="David" w:hint="cs"/>
          <w:noProof w:val="0"/>
          <w:color w:val="000000" w:themeColor="text1"/>
          <w:rtl/>
        </w:rPr>
        <w:t xml:space="preserve">. </w:t>
      </w:r>
      <w:r>
        <w:rPr>
          <w:rFonts w:ascii="David" w:hAnsi="David"/>
          <w:noProof w:val="0"/>
          <w:color w:val="000000" w:themeColor="text1"/>
          <w:rtl/>
        </w:rPr>
        <w:t>כך נראה, כי בתקופה הסמוכה למכירת הנכס לא התגוררו במבנה העורר 1 ומשפחתו. כפי שציין המשיב "למעשה, גם לא ניתן לדעת אם גורם אחר התגורר במבנה, ומתי" (פסקה 37 לכתב התשובה). עוד לכך, במסמך שהוגש במסגרת ההשגה מצוין כי כבר "מאז 1995 מושכר הבית" (פסקה 6 לנספח ז' לערר).</w:t>
      </w:r>
    </w:p>
    <w:p w:rsidR="0005774A" w:rsidRDefault="0005774A" w:rsidP="0005774A">
      <w:pPr>
        <w:pStyle w:val="ad"/>
        <w:shd w:val="clear" w:color="auto" w:fill="FFFFFF"/>
        <w:tabs>
          <w:tab w:val="left" w:pos="3733"/>
        </w:tabs>
        <w:spacing w:before="100" w:beforeAutospacing="1" w:after="100" w:afterAutospacing="1" w:line="360" w:lineRule="auto"/>
        <w:jc w:val="both"/>
        <w:rPr>
          <w:rFonts w:ascii="David" w:hAnsi="David"/>
          <w:noProof w:val="0"/>
          <w:color w:val="000000" w:themeColor="text1"/>
        </w:rPr>
      </w:pPr>
    </w:p>
    <w:p w:rsidR="0005774A" w:rsidRDefault="0005774A" w:rsidP="0005774A">
      <w:pPr>
        <w:pStyle w:val="ad"/>
        <w:numPr>
          <w:ilvl w:val="0"/>
          <w:numId w:val="1"/>
        </w:numPr>
        <w:shd w:val="clear" w:color="auto" w:fill="FFFFFF"/>
        <w:tabs>
          <w:tab w:val="left" w:pos="3733"/>
        </w:tabs>
        <w:spacing w:before="100" w:beforeAutospacing="1" w:after="100" w:afterAutospacing="1" w:line="360" w:lineRule="auto"/>
        <w:jc w:val="both"/>
        <w:rPr>
          <w:rFonts w:ascii="David" w:hAnsi="David"/>
          <w:noProof w:val="0"/>
          <w:color w:val="000000" w:themeColor="text1"/>
        </w:rPr>
      </w:pPr>
      <w:r>
        <w:rPr>
          <w:rFonts w:ascii="David" w:hAnsi="David"/>
          <w:noProof w:val="0"/>
          <w:color w:val="000000" w:themeColor="text1"/>
          <w:rtl/>
        </w:rPr>
        <w:t>בנוסף, משך מגוריהם של המתנדבים במבנה, אשר לא הוכח די הצורך (כפי שיידון להלן), איננה עולה כדי ה"מגורים" הנדרשים בהגדרת "דירת מגורים", שכן אינם מאופיינים בדרישת הקבע עליה עמדתי לפני כן. המתגוררים במבנה הם מתנדבים השוהים בישראל לפרקי זמן שונים. שהותם של מתנדבים, שאינם תושבי או אזרחי ישראל,</w:t>
      </w:r>
      <w:r w:rsidR="00C51449">
        <w:rPr>
          <w:rFonts w:ascii="David" w:hAnsi="David" w:hint="cs"/>
          <w:noProof w:val="0"/>
          <w:color w:val="000000" w:themeColor="text1"/>
          <w:rtl/>
        </w:rPr>
        <w:t xml:space="preserve"> הינה</w:t>
      </w:r>
      <w:r>
        <w:rPr>
          <w:rFonts w:ascii="David" w:hAnsi="David"/>
          <w:noProof w:val="0"/>
          <w:color w:val="000000" w:themeColor="text1"/>
          <w:rtl/>
        </w:rPr>
        <w:t xml:space="preserve"> בעלת מימד ארעי מעיקרה. שהות זאת כפופה להיבטים טכניים שונים דוגמת אשרות והארכתן. מכאן שלא ניתן לראות במגורי המתנדבים כ"מגורי קבע" כלל ועיקר.</w:t>
      </w:r>
    </w:p>
    <w:p w:rsidR="0005774A" w:rsidRDefault="0005774A" w:rsidP="0005774A">
      <w:pPr>
        <w:pStyle w:val="ad"/>
        <w:shd w:val="clear" w:color="auto" w:fill="FFFFFF"/>
        <w:tabs>
          <w:tab w:val="left" w:pos="3733"/>
        </w:tabs>
        <w:spacing w:before="100" w:beforeAutospacing="1" w:after="100" w:afterAutospacing="1" w:line="360" w:lineRule="auto"/>
        <w:jc w:val="both"/>
        <w:rPr>
          <w:rFonts w:ascii="David" w:hAnsi="David"/>
          <w:noProof w:val="0"/>
          <w:color w:val="000000" w:themeColor="text1"/>
        </w:rPr>
      </w:pPr>
    </w:p>
    <w:p w:rsidR="00BC1DBA" w:rsidRDefault="0005774A" w:rsidP="00BE13AC">
      <w:pPr>
        <w:pStyle w:val="ad"/>
        <w:numPr>
          <w:ilvl w:val="0"/>
          <w:numId w:val="1"/>
        </w:numPr>
        <w:shd w:val="clear" w:color="auto" w:fill="FFFFFF"/>
        <w:tabs>
          <w:tab w:val="left" w:pos="3733"/>
        </w:tabs>
        <w:spacing w:before="100" w:beforeAutospacing="1" w:after="100" w:afterAutospacing="1" w:line="360" w:lineRule="auto"/>
        <w:jc w:val="both"/>
        <w:rPr>
          <w:rFonts w:ascii="David" w:hAnsi="David"/>
          <w:noProof w:val="0"/>
          <w:color w:val="000000" w:themeColor="text1"/>
        </w:rPr>
      </w:pPr>
      <w:r w:rsidRPr="00C51449">
        <w:rPr>
          <w:rFonts w:ascii="David" w:hAnsi="David"/>
          <w:noProof w:val="0"/>
          <w:color w:val="000000" w:themeColor="text1"/>
          <w:rtl/>
        </w:rPr>
        <w:t xml:space="preserve">העוררים טענו כי המתנדבים מתגוררים בדירה "לעיתים במשך שנים" וגם "חלקם שוהים כבר 20 שנה", אולם </w:t>
      </w:r>
      <w:r w:rsidR="00C51449" w:rsidRPr="00C51449">
        <w:rPr>
          <w:rFonts w:ascii="David" w:hAnsi="David" w:hint="cs"/>
          <w:noProof w:val="0"/>
          <w:color w:val="000000" w:themeColor="text1"/>
          <w:rtl/>
        </w:rPr>
        <w:t xml:space="preserve">טענות אלה </w:t>
      </w:r>
      <w:r w:rsidRPr="00C51449">
        <w:rPr>
          <w:rFonts w:ascii="David" w:hAnsi="David"/>
          <w:noProof w:val="0"/>
          <w:color w:val="000000" w:themeColor="text1"/>
          <w:rtl/>
        </w:rPr>
        <w:t xml:space="preserve">כלל </w:t>
      </w:r>
      <w:r w:rsidR="00C51449" w:rsidRPr="00C51449">
        <w:rPr>
          <w:rFonts w:ascii="David" w:hAnsi="David" w:hint="cs"/>
          <w:noProof w:val="0"/>
          <w:color w:val="000000" w:themeColor="text1"/>
          <w:rtl/>
        </w:rPr>
        <w:t>לא הוכחו</w:t>
      </w:r>
      <w:r w:rsidRPr="00C51449">
        <w:rPr>
          <w:rFonts w:ascii="David" w:hAnsi="David"/>
          <w:noProof w:val="0"/>
          <w:color w:val="000000" w:themeColor="text1"/>
          <w:rtl/>
        </w:rPr>
        <w:t xml:space="preserve">. בשלב הסיכומים החליטו המשיבים באופן חד צדדי לצרף צילומי דרכונים וויזות של המתנדבים, אשר לטענתם מצביעים בבירור על משך שהייתם של המתנדבים (נספח א' לסיכומי תשובה מטעם העוררים). את התנהלות זאת של העוררים ואת המסמכים האמורים אין </w:t>
      </w:r>
      <w:r w:rsidR="00BC1DBA">
        <w:rPr>
          <w:rFonts w:ascii="David" w:hAnsi="David" w:hint="cs"/>
          <w:noProof w:val="0"/>
          <w:color w:val="000000" w:themeColor="text1"/>
          <w:rtl/>
        </w:rPr>
        <w:t>מ</w:t>
      </w:r>
      <w:r w:rsidR="00C51449" w:rsidRPr="00C51449">
        <w:rPr>
          <w:rFonts w:ascii="David" w:hAnsi="David" w:hint="cs"/>
          <w:noProof w:val="0"/>
          <w:color w:val="000000" w:themeColor="text1"/>
          <w:rtl/>
        </w:rPr>
        <w:t xml:space="preserve">קום </w:t>
      </w:r>
      <w:r w:rsidRPr="00C51449">
        <w:rPr>
          <w:rFonts w:ascii="David" w:hAnsi="David"/>
          <w:noProof w:val="0"/>
          <w:color w:val="000000" w:themeColor="text1"/>
          <w:rtl/>
        </w:rPr>
        <w:t>לקבל</w:t>
      </w:r>
      <w:r w:rsidR="00BC1DBA">
        <w:rPr>
          <w:rFonts w:ascii="David" w:hAnsi="David" w:hint="cs"/>
          <w:noProof w:val="0"/>
          <w:color w:val="000000" w:themeColor="text1"/>
          <w:rtl/>
        </w:rPr>
        <w:t>.</w:t>
      </w:r>
    </w:p>
    <w:p w:rsidR="00BC1DBA" w:rsidRPr="00BC1DBA" w:rsidRDefault="00BC1DBA" w:rsidP="00BC1DBA">
      <w:pPr>
        <w:pStyle w:val="ad"/>
        <w:rPr>
          <w:rFonts w:ascii="David" w:hAnsi="David"/>
          <w:noProof w:val="0"/>
          <w:color w:val="000000" w:themeColor="text1"/>
          <w:rtl/>
        </w:rPr>
      </w:pPr>
    </w:p>
    <w:p w:rsidR="0005774A" w:rsidRDefault="00C51449" w:rsidP="00BE13AC">
      <w:pPr>
        <w:pStyle w:val="ad"/>
        <w:numPr>
          <w:ilvl w:val="0"/>
          <w:numId w:val="1"/>
        </w:numPr>
        <w:shd w:val="clear" w:color="auto" w:fill="FFFFFF"/>
        <w:tabs>
          <w:tab w:val="left" w:pos="3733"/>
        </w:tabs>
        <w:spacing w:before="100" w:beforeAutospacing="1" w:after="100" w:afterAutospacing="1" w:line="360" w:lineRule="auto"/>
        <w:jc w:val="both"/>
        <w:rPr>
          <w:rFonts w:ascii="David" w:hAnsi="David"/>
          <w:noProof w:val="0"/>
          <w:color w:val="000000" w:themeColor="text1"/>
        </w:rPr>
      </w:pPr>
      <w:r>
        <w:rPr>
          <w:rFonts w:ascii="David" w:hAnsi="David" w:hint="cs"/>
          <w:noProof w:val="0"/>
          <w:color w:val="000000" w:themeColor="text1"/>
          <w:rtl/>
        </w:rPr>
        <w:t xml:space="preserve"> </w:t>
      </w:r>
      <w:r w:rsidR="0005774A" w:rsidRPr="00C51449">
        <w:rPr>
          <w:rFonts w:ascii="David" w:hAnsi="David"/>
          <w:noProof w:val="0"/>
          <w:color w:val="000000" w:themeColor="text1"/>
          <w:rtl/>
        </w:rPr>
        <w:t>משיקולים של יעילות ההליך הדיוני תוך חתירה לחקר האמת, כלל הוא כי את הראיות יגישו הצדדים בתחילת ההליך:</w:t>
      </w:r>
    </w:p>
    <w:p w:rsidR="00C20DDF" w:rsidRPr="00C51449" w:rsidRDefault="00C20DDF" w:rsidP="00C20DDF">
      <w:pPr>
        <w:pStyle w:val="ad"/>
        <w:shd w:val="clear" w:color="auto" w:fill="FFFFFF"/>
        <w:tabs>
          <w:tab w:val="left" w:pos="3733"/>
        </w:tabs>
        <w:spacing w:before="100" w:beforeAutospacing="1" w:after="100" w:afterAutospacing="1" w:line="360" w:lineRule="auto"/>
        <w:jc w:val="both"/>
        <w:rPr>
          <w:rFonts w:ascii="David" w:hAnsi="David"/>
          <w:noProof w:val="0"/>
          <w:color w:val="000000" w:themeColor="text1"/>
        </w:rPr>
      </w:pPr>
    </w:p>
    <w:p w:rsidR="0005774A" w:rsidRDefault="0005774A" w:rsidP="004328CD">
      <w:pPr>
        <w:pStyle w:val="ad"/>
        <w:shd w:val="clear" w:color="auto" w:fill="FFFFFF"/>
        <w:tabs>
          <w:tab w:val="left" w:pos="3733"/>
        </w:tabs>
        <w:spacing w:before="100" w:beforeAutospacing="1" w:after="100" w:afterAutospacing="1" w:line="360" w:lineRule="auto"/>
        <w:ind w:left="1417" w:right="1417"/>
        <w:jc w:val="both"/>
        <w:rPr>
          <w:rFonts w:ascii="David" w:hAnsi="David"/>
          <w:b/>
          <w:bCs/>
          <w:noProof w:val="0"/>
          <w:color w:val="000000" w:themeColor="text1"/>
          <w:rtl/>
        </w:rPr>
      </w:pPr>
      <w:r w:rsidRPr="00C20DDF">
        <w:rPr>
          <w:rFonts w:ascii="David" w:hAnsi="David"/>
          <w:b/>
          <w:bCs/>
          <w:noProof w:val="0"/>
          <w:color w:val="000000"/>
          <w:rtl/>
        </w:rPr>
        <w:t>"משעברנו את השערים ונכנסנו אל הטרקלין, מחובתנו לשמור על סדרים שקבע בעל הבית ולא כל הרוצה ליטול בא ונוטל. כלל הוא לעניין הגשתן של ראיות, שבעל דין אמור וחייב להגישן ב"חבילה אחת" - כך, ולא בתפזורת, זעיר שם זעיר שם. והטעם לדבר</w:t>
      </w:r>
      <w:r w:rsidRPr="00C20DDF">
        <w:rPr>
          <w:rFonts w:ascii="David" w:hAnsi="David"/>
          <w:b/>
          <w:bCs/>
          <w:noProof w:val="0"/>
          <w:color w:val="000000"/>
        </w:rPr>
        <w:t>?</w:t>
      </w:r>
      <w:r w:rsidRPr="00C20DDF">
        <w:rPr>
          <w:rFonts w:ascii="David" w:hAnsi="David"/>
          <w:b/>
          <w:bCs/>
          <w:noProof w:val="0"/>
          <w:color w:val="000000"/>
          <w:rtl/>
        </w:rPr>
        <w:t>"...כי אחרת ייטלטל הדיון עד אין קץ כהיטלטל ספינה בלב ים ללא הגה, ללא עוגן וללא קברניט, ונמצא צורת הדיון, ואתה מידת הדין, לוקה</w:t>
      </w:r>
      <w:r w:rsidR="00C20DDF">
        <w:rPr>
          <w:rFonts w:ascii="David" w:hAnsi="David" w:hint="cs"/>
          <w:b/>
          <w:bCs/>
          <w:noProof w:val="0"/>
          <w:color w:val="000000"/>
          <w:rtl/>
        </w:rPr>
        <w:t>"</w:t>
      </w:r>
      <w:r w:rsidR="004328CD">
        <w:rPr>
          <w:rFonts w:ascii="David" w:hAnsi="David" w:hint="cs"/>
          <w:b/>
          <w:bCs/>
          <w:noProof w:val="0"/>
          <w:color w:val="000000"/>
          <w:rtl/>
        </w:rPr>
        <w:t xml:space="preserve"> (ע"א 507/64 [1] </w:t>
      </w:r>
      <w:r w:rsidRPr="00C20DDF">
        <w:rPr>
          <w:rFonts w:ascii="David" w:hAnsi="David"/>
          <w:b/>
          <w:bCs/>
          <w:noProof w:val="0"/>
          <w:color w:val="000000"/>
          <w:rtl/>
        </w:rPr>
        <w:t>בעמ' </w:t>
      </w:r>
      <w:r w:rsidRPr="00C20DDF">
        <w:rPr>
          <w:rFonts w:ascii="David" w:hAnsi="David"/>
          <w:b/>
          <w:bCs/>
          <w:noProof w:val="0"/>
          <w:color w:val="000000"/>
        </w:rPr>
        <w:t>339</w:t>
      </w:r>
      <w:r w:rsidR="00C20DDF">
        <w:rPr>
          <w:rFonts w:ascii="David" w:hAnsi="David" w:hint="cs"/>
          <w:b/>
          <w:bCs/>
          <w:noProof w:val="0"/>
          <w:color w:val="000000"/>
          <w:rtl/>
        </w:rPr>
        <w:t xml:space="preserve"> </w:t>
      </w:r>
      <w:r w:rsidRPr="00C20DDF">
        <w:rPr>
          <w:rFonts w:ascii="David" w:hAnsi="David"/>
          <w:b/>
          <w:bCs/>
          <w:noProof w:val="0"/>
          <w:color w:val="000000"/>
          <w:rtl/>
        </w:rPr>
        <w:t>מפי השופט זילברג" (</w:t>
      </w:r>
      <w:r w:rsidR="00C20DDF">
        <w:rPr>
          <w:rFonts w:ascii="David" w:hAnsi="David" w:hint="cs"/>
          <w:b/>
          <w:bCs/>
          <w:noProof w:val="0"/>
          <w:color w:val="000000"/>
          <w:rtl/>
        </w:rPr>
        <w:t xml:space="preserve">ע"א </w:t>
      </w:r>
      <w:r w:rsidR="004328CD">
        <w:rPr>
          <w:rFonts w:ascii="David" w:hAnsi="David" w:hint="cs"/>
          <w:b/>
          <w:bCs/>
          <w:noProof w:val="0"/>
          <w:color w:val="000000"/>
          <w:rtl/>
        </w:rPr>
        <w:t>579/90</w:t>
      </w:r>
      <w:r w:rsidRPr="00C20DDF">
        <w:rPr>
          <w:rFonts w:ascii="David" w:hAnsi="David"/>
          <w:b/>
          <w:bCs/>
          <w:noProof w:val="0"/>
          <w:color w:val="000000"/>
          <w:rtl/>
        </w:rPr>
        <w:t xml:space="preserve"> מרדכי וגילה רוזין נ' </w:t>
      </w:r>
      <w:r w:rsidR="00C20DDF">
        <w:rPr>
          <w:rFonts w:ascii="David" w:hAnsi="David" w:hint="cs"/>
          <w:b/>
          <w:bCs/>
          <w:noProof w:val="0"/>
          <w:color w:val="000000"/>
          <w:rtl/>
        </w:rPr>
        <w:t>ציפורה</w:t>
      </w:r>
      <w:r w:rsidRPr="00C20DDF">
        <w:rPr>
          <w:rFonts w:ascii="David" w:hAnsi="David"/>
          <w:b/>
          <w:bCs/>
          <w:noProof w:val="0"/>
          <w:color w:val="000000"/>
          <w:rtl/>
        </w:rPr>
        <w:t xml:space="preserve"> בן-נון, פסקה 8).</w:t>
      </w:r>
    </w:p>
    <w:p w:rsidR="00C20DDF" w:rsidRPr="00C20DDF" w:rsidRDefault="00C20DDF" w:rsidP="00C20DDF">
      <w:pPr>
        <w:pStyle w:val="ad"/>
        <w:shd w:val="clear" w:color="auto" w:fill="FFFFFF"/>
        <w:tabs>
          <w:tab w:val="left" w:pos="3733"/>
        </w:tabs>
        <w:spacing w:before="100" w:beforeAutospacing="1" w:after="100" w:afterAutospacing="1" w:line="360" w:lineRule="auto"/>
        <w:ind w:left="1417" w:right="1417"/>
        <w:jc w:val="both"/>
        <w:rPr>
          <w:rFonts w:ascii="David" w:hAnsi="David"/>
          <w:b/>
          <w:bCs/>
          <w:noProof w:val="0"/>
          <w:color w:val="000000" w:themeColor="text1"/>
        </w:rPr>
      </w:pPr>
    </w:p>
    <w:p w:rsidR="00A75C81" w:rsidRDefault="00A75C81" w:rsidP="00A75C81">
      <w:pPr>
        <w:pStyle w:val="ad"/>
        <w:numPr>
          <w:ilvl w:val="0"/>
          <w:numId w:val="1"/>
        </w:numPr>
        <w:shd w:val="clear" w:color="auto" w:fill="FFFFFF"/>
        <w:tabs>
          <w:tab w:val="left" w:pos="3733"/>
        </w:tabs>
        <w:spacing w:before="100" w:beforeAutospacing="1" w:after="100" w:afterAutospacing="1" w:line="360" w:lineRule="auto"/>
        <w:ind w:left="927"/>
        <w:jc w:val="both"/>
        <w:rPr>
          <w:rFonts w:ascii="David" w:hAnsi="David"/>
          <w:noProof w:val="0"/>
          <w:color w:val="000000" w:themeColor="text1"/>
        </w:rPr>
      </w:pPr>
      <w:r>
        <w:rPr>
          <w:rFonts w:ascii="David" w:hAnsi="David"/>
          <w:noProof w:val="0"/>
          <w:color w:val="000000" w:themeColor="text1"/>
          <w:rtl/>
        </w:rPr>
        <w:t xml:space="preserve">באותו עניין, נקבע גם כי אם בעל דין מבקש לסטות מן הכלל ולהוסיף ראיות בשלב מאוחר יותר של ההליך, נטל ההוכחה עליו לעמוד בתנאים מוגדרים שיצדיקו זאת, ובכל אופן, אין </w:t>
      </w:r>
      <w:r>
        <w:rPr>
          <w:rFonts w:ascii="David" w:hAnsi="David"/>
          <w:noProof w:val="0"/>
          <w:color w:val="000000" w:themeColor="text1"/>
          <w:rtl/>
        </w:rPr>
        <w:lastRenderedPageBreak/>
        <w:t xml:space="preserve">הוא ראשי ליטול לעצמו הזכות לעשות כן. ראו לכך ע"מ (מחוזי ת"א) 45369-02-17 </w:t>
      </w:r>
      <w:r>
        <w:rPr>
          <w:rFonts w:ascii="David" w:hAnsi="David"/>
          <w:b/>
          <w:bCs/>
          <w:noProof w:val="0"/>
          <w:color w:val="000000" w:themeColor="text1"/>
          <w:rtl/>
        </w:rPr>
        <w:t>מילר אורי נ' פקיד שומה ת"א 3</w:t>
      </w:r>
      <w:r>
        <w:rPr>
          <w:rFonts w:ascii="David" w:hAnsi="David"/>
          <w:noProof w:val="0"/>
          <w:color w:val="000000" w:themeColor="text1"/>
          <w:rtl/>
        </w:rPr>
        <w:t xml:space="preserve"> (5.11.18):</w:t>
      </w:r>
    </w:p>
    <w:p w:rsidR="00C20DDF" w:rsidRDefault="00C20DDF" w:rsidP="00C20DDF">
      <w:pPr>
        <w:pStyle w:val="ad"/>
        <w:shd w:val="clear" w:color="auto" w:fill="FFFFFF"/>
        <w:tabs>
          <w:tab w:val="left" w:pos="3733"/>
        </w:tabs>
        <w:spacing w:before="100" w:beforeAutospacing="1" w:after="100" w:afterAutospacing="1" w:line="360" w:lineRule="auto"/>
        <w:ind w:left="927"/>
        <w:jc w:val="both"/>
        <w:rPr>
          <w:rFonts w:ascii="David" w:hAnsi="David"/>
          <w:noProof w:val="0"/>
          <w:color w:val="000000" w:themeColor="text1"/>
          <w:rtl/>
        </w:rPr>
      </w:pPr>
    </w:p>
    <w:p w:rsidR="00A75C81" w:rsidRDefault="00A75C81" w:rsidP="00A75C81">
      <w:pPr>
        <w:pStyle w:val="ad"/>
        <w:shd w:val="clear" w:color="auto" w:fill="FFFFFF"/>
        <w:tabs>
          <w:tab w:val="left" w:pos="3733"/>
        </w:tabs>
        <w:spacing w:before="100" w:beforeAutospacing="1" w:after="100" w:afterAutospacing="1" w:line="360" w:lineRule="auto"/>
        <w:ind w:left="1417" w:right="1417"/>
        <w:jc w:val="both"/>
        <w:rPr>
          <w:rFonts w:ascii="David" w:hAnsi="David"/>
          <w:b/>
          <w:bCs/>
          <w:noProof w:val="0"/>
          <w:color w:val="000000" w:themeColor="text1"/>
        </w:rPr>
      </w:pPr>
      <w:r>
        <w:rPr>
          <w:rFonts w:ascii="David" w:hAnsi="David"/>
          <w:b/>
          <w:bCs/>
          <w:noProof w:val="0"/>
          <w:color w:val="000000" w:themeColor="text1"/>
          <w:rtl/>
        </w:rPr>
        <w:t>"המערער אינו רשאי ליטול חירות לעצמו ולטעון טענות עובדתיות חדשות, לאחר סיום שלב ההוכחות, מבלי שהייתה למשיב ההזדמנות הראויה להתמודד איתן ולנסות להפריכן".</w:t>
      </w:r>
    </w:p>
    <w:p w:rsidR="00A75C81" w:rsidRDefault="00A75C81" w:rsidP="00A75C81">
      <w:pPr>
        <w:shd w:val="clear" w:color="auto" w:fill="FFFFFF"/>
        <w:tabs>
          <w:tab w:val="left" w:pos="3733"/>
        </w:tabs>
        <w:spacing w:before="100" w:beforeAutospacing="1" w:after="100" w:afterAutospacing="1" w:line="360" w:lineRule="auto"/>
        <w:ind w:left="720"/>
        <w:jc w:val="both"/>
        <w:rPr>
          <w:rFonts w:ascii="David" w:hAnsi="David"/>
          <w:noProof w:val="0"/>
          <w:color w:val="000000" w:themeColor="text1"/>
        </w:rPr>
      </w:pPr>
      <w:r>
        <w:rPr>
          <w:rFonts w:ascii="David" w:hAnsi="David"/>
          <w:noProof w:val="0"/>
          <w:color w:val="000000" w:themeColor="text1"/>
          <w:rtl/>
        </w:rPr>
        <w:t>וגם:</w:t>
      </w:r>
    </w:p>
    <w:p w:rsidR="00A75C81" w:rsidRDefault="00A75C81" w:rsidP="00A75C81">
      <w:pPr>
        <w:shd w:val="clear" w:color="auto" w:fill="FFFFFF"/>
        <w:tabs>
          <w:tab w:val="left" w:pos="3733"/>
        </w:tabs>
        <w:spacing w:before="100" w:beforeAutospacing="1" w:after="100" w:afterAutospacing="1" w:line="360" w:lineRule="auto"/>
        <w:ind w:left="1417" w:right="1417"/>
        <w:jc w:val="both"/>
        <w:rPr>
          <w:rFonts w:ascii="David" w:hAnsi="David"/>
          <w:b/>
          <w:bCs/>
          <w:noProof w:val="0"/>
          <w:color w:val="000000" w:themeColor="text1"/>
          <w:rtl/>
        </w:rPr>
      </w:pPr>
      <w:r>
        <w:rPr>
          <w:rFonts w:ascii="David" w:hAnsi="David"/>
          <w:b/>
          <w:bCs/>
          <w:noProof w:val="0"/>
          <w:color w:val="000000" w:themeColor="text1"/>
          <w:rtl/>
        </w:rPr>
        <w:t>"[...] מסמכים שמטבעם מחייבים הבהרה ואף מתן האפשרות למשיב לחקור בעניינם. לאחר שהסתיימה חקירת העדים והוגשו הסיכומים ובהעדר נסיבות מיוחדות, אין הצדקה לשוב לשלב זה של הדיון. [...] אין המדובר בראיה חדשה שלא הייתה תחת ידיה או שלא יכלה לדעת על קיומה ובשל כך נמנעה מלהגישה." (ע"מ מחוזי מרכז) 65217-05-19 די-אור 11 ייזום בניה והשקעות בע"מ נ' מנהל מע"מ פתח תקווה (11.11.21)) (הדגשות אינן במקור).</w:t>
      </w:r>
    </w:p>
    <w:p w:rsidR="00A75C81" w:rsidRDefault="00A75C81" w:rsidP="00D02335">
      <w:pPr>
        <w:pStyle w:val="ad"/>
        <w:numPr>
          <w:ilvl w:val="0"/>
          <w:numId w:val="1"/>
        </w:numPr>
        <w:shd w:val="clear" w:color="auto" w:fill="FFFFFF"/>
        <w:tabs>
          <w:tab w:val="left" w:pos="3733"/>
        </w:tabs>
        <w:spacing w:before="100" w:beforeAutospacing="1" w:after="100" w:afterAutospacing="1" w:line="360" w:lineRule="auto"/>
        <w:ind w:left="927"/>
        <w:jc w:val="both"/>
        <w:rPr>
          <w:rFonts w:ascii="David" w:hAnsi="David"/>
          <w:noProof w:val="0"/>
          <w:color w:val="000000" w:themeColor="text1"/>
          <w:rtl/>
        </w:rPr>
      </w:pPr>
      <w:r>
        <w:rPr>
          <w:rFonts w:ascii="David" w:hAnsi="David"/>
          <w:noProof w:val="0"/>
          <w:color w:val="000000" w:themeColor="text1"/>
          <w:rtl/>
        </w:rPr>
        <w:t xml:space="preserve">בענייננו, מדובר במסמכים שיכלו העוררים להמציא בשלב מוקדם של ההליך. יצוין כי העוררים הגישו בשלבי השומה והערר טבלה המפרטת את שמות המתגוררים ותקופת שהותם. לו רצו העוררים לעשות שימוש במסמכים החדשים שלדידם מיטיבים לשפוך אור על טענותיהם, היו צריכים לפעול בהתאם לכללי </w:t>
      </w:r>
      <w:r w:rsidR="00D02335">
        <w:rPr>
          <w:rFonts w:ascii="David" w:hAnsi="David" w:hint="cs"/>
          <w:noProof w:val="0"/>
          <w:color w:val="000000" w:themeColor="text1"/>
          <w:rtl/>
        </w:rPr>
        <w:t>הפרוצדורה הדיונית</w:t>
      </w:r>
      <w:r>
        <w:rPr>
          <w:rFonts w:ascii="David" w:hAnsi="David"/>
          <w:noProof w:val="0"/>
          <w:color w:val="000000" w:themeColor="text1"/>
          <w:rtl/>
        </w:rPr>
        <w:t>.</w:t>
      </w:r>
    </w:p>
    <w:p w:rsidR="00A75C81" w:rsidRDefault="00A75C81" w:rsidP="00A75C81">
      <w:pPr>
        <w:pStyle w:val="ad"/>
        <w:shd w:val="clear" w:color="auto" w:fill="FFFFFF"/>
        <w:tabs>
          <w:tab w:val="left" w:pos="3733"/>
        </w:tabs>
        <w:spacing w:before="100" w:beforeAutospacing="1" w:after="100" w:afterAutospacing="1" w:line="360" w:lineRule="auto"/>
        <w:jc w:val="both"/>
        <w:rPr>
          <w:rFonts w:ascii="David" w:hAnsi="David"/>
          <w:noProof w:val="0"/>
          <w:color w:val="000000" w:themeColor="text1"/>
        </w:rPr>
      </w:pPr>
    </w:p>
    <w:p w:rsidR="00A75C81" w:rsidRDefault="00A75C81" w:rsidP="00C20DDF">
      <w:pPr>
        <w:pStyle w:val="ad"/>
        <w:numPr>
          <w:ilvl w:val="0"/>
          <w:numId w:val="1"/>
        </w:numPr>
        <w:shd w:val="clear" w:color="auto" w:fill="FFFFFF"/>
        <w:tabs>
          <w:tab w:val="left" w:pos="3733"/>
        </w:tabs>
        <w:spacing w:before="100" w:beforeAutospacing="1" w:after="100" w:afterAutospacing="1" w:line="360" w:lineRule="auto"/>
        <w:ind w:left="927"/>
        <w:jc w:val="both"/>
        <w:rPr>
          <w:rFonts w:ascii="David" w:hAnsi="David"/>
          <w:noProof w:val="0"/>
          <w:color w:val="000000" w:themeColor="text1"/>
        </w:rPr>
      </w:pPr>
      <w:r>
        <w:rPr>
          <w:rFonts w:ascii="David" w:hAnsi="David"/>
          <w:noProof w:val="0"/>
          <w:color w:val="000000" w:themeColor="text1"/>
          <w:rtl/>
        </w:rPr>
        <w:t>נימוק נוסף, לפיו אין לראות בדירה כמשמשת למגורים, עולה מדברי העוררים עצמם כי הנכס אינו משמש "דירת מגורים" כהגדרתו בחוק. העורר 1 העיד על כוונתו בנוגע למבנה שבנה וכך אמר:</w:t>
      </w:r>
    </w:p>
    <w:p w:rsidR="00C20DDF" w:rsidRDefault="00C20DDF" w:rsidP="00C20DDF">
      <w:pPr>
        <w:pStyle w:val="ad"/>
        <w:shd w:val="clear" w:color="auto" w:fill="FFFFFF"/>
        <w:tabs>
          <w:tab w:val="left" w:pos="3733"/>
        </w:tabs>
        <w:spacing w:before="100" w:beforeAutospacing="1" w:after="100" w:afterAutospacing="1" w:line="360" w:lineRule="auto"/>
        <w:ind w:left="927"/>
        <w:jc w:val="both"/>
        <w:rPr>
          <w:rFonts w:ascii="David" w:hAnsi="David"/>
          <w:noProof w:val="0"/>
          <w:color w:val="000000" w:themeColor="text1"/>
        </w:rPr>
      </w:pPr>
    </w:p>
    <w:p w:rsidR="00A75C81" w:rsidRDefault="00A75C81" w:rsidP="00A75C81">
      <w:pPr>
        <w:pStyle w:val="ad"/>
        <w:shd w:val="clear" w:color="auto" w:fill="FFFFFF"/>
        <w:tabs>
          <w:tab w:val="left" w:pos="3733"/>
        </w:tabs>
        <w:spacing w:before="100" w:beforeAutospacing="1" w:after="100" w:afterAutospacing="1" w:line="360" w:lineRule="auto"/>
        <w:ind w:left="1417" w:right="1417"/>
        <w:jc w:val="both"/>
        <w:rPr>
          <w:rFonts w:ascii="David" w:hAnsi="David"/>
          <w:b/>
          <w:bCs/>
          <w:noProof w:val="0"/>
          <w:color w:val="000000" w:themeColor="text1"/>
        </w:rPr>
      </w:pPr>
      <w:r>
        <w:rPr>
          <w:rFonts w:ascii="David" w:hAnsi="David"/>
          <w:b/>
          <w:bCs/>
          <w:noProof w:val="0"/>
          <w:color w:val="000000" w:themeColor="text1"/>
          <w:rtl/>
        </w:rPr>
        <w:t>"ש. [...] כשהשכרת את המבנה ב-1988, לאיזה מטרה זה הושכר?</w:t>
      </w:r>
    </w:p>
    <w:p w:rsidR="00A75C81" w:rsidRDefault="00A75C81" w:rsidP="00A75C81">
      <w:pPr>
        <w:pStyle w:val="ad"/>
        <w:shd w:val="clear" w:color="auto" w:fill="FFFFFF"/>
        <w:tabs>
          <w:tab w:val="left" w:pos="3733"/>
        </w:tabs>
        <w:spacing w:before="100" w:beforeAutospacing="1" w:after="100" w:afterAutospacing="1" w:line="360" w:lineRule="auto"/>
        <w:ind w:left="1417" w:right="1417"/>
        <w:jc w:val="both"/>
        <w:rPr>
          <w:rFonts w:ascii="David" w:hAnsi="David"/>
          <w:b/>
          <w:bCs/>
          <w:noProof w:val="0"/>
          <w:color w:val="000000" w:themeColor="text1"/>
        </w:rPr>
      </w:pPr>
      <w:r>
        <w:rPr>
          <w:rFonts w:ascii="David" w:hAnsi="David"/>
          <w:b/>
          <w:bCs/>
          <w:noProof w:val="0"/>
          <w:color w:val="000000" w:themeColor="text1"/>
          <w:rtl/>
        </w:rPr>
        <w:t>ת. מבנה משפחתי שישמש לתפילה.</w:t>
      </w:r>
    </w:p>
    <w:p w:rsidR="00A75C81" w:rsidRDefault="00A75C81" w:rsidP="00A75C81">
      <w:pPr>
        <w:pStyle w:val="ad"/>
        <w:shd w:val="clear" w:color="auto" w:fill="FFFFFF"/>
        <w:tabs>
          <w:tab w:val="left" w:pos="3733"/>
        </w:tabs>
        <w:spacing w:before="100" w:beforeAutospacing="1" w:after="100" w:afterAutospacing="1" w:line="360" w:lineRule="auto"/>
        <w:ind w:left="1417" w:right="1417"/>
        <w:jc w:val="both"/>
        <w:rPr>
          <w:rFonts w:ascii="David" w:hAnsi="David"/>
          <w:b/>
          <w:bCs/>
          <w:noProof w:val="0"/>
          <w:color w:val="000000" w:themeColor="text1"/>
          <w:rtl/>
        </w:rPr>
      </w:pPr>
      <w:r>
        <w:rPr>
          <w:rFonts w:ascii="David" w:hAnsi="David"/>
          <w:b/>
          <w:bCs/>
          <w:noProof w:val="0"/>
          <w:color w:val="000000" w:themeColor="text1"/>
          <w:rtl/>
        </w:rPr>
        <w:t>ש. מי זאת המשפחה?</w:t>
      </w:r>
    </w:p>
    <w:p w:rsidR="00A75C81" w:rsidRDefault="00A75C81" w:rsidP="00A75C81">
      <w:pPr>
        <w:pStyle w:val="ad"/>
        <w:shd w:val="clear" w:color="auto" w:fill="FFFFFF"/>
        <w:tabs>
          <w:tab w:val="left" w:pos="3733"/>
        </w:tabs>
        <w:spacing w:before="100" w:beforeAutospacing="1" w:after="100" w:afterAutospacing="1" w:line="360" w:lineRule="auto"/>
        <w:ind w:left="1417" w:right="1417"/>
        <w:jc w:val="both"/>
        <w:rPr>
          <w:rFonts w:ascii="David" w:hAnsi="David"/>
          <w:b/>
          <w:bCs/>
          <w:noProof w:val="0"/>
          <w:color w:val="000000" w:themeColor="text1"/>
          <w:rtl/>
        </w:rPr>
      </w:pPr>
      <w:r>
        <w:rPr>
          <w:rFonts w:ascii="David" w:hAnsi="David"/>
          <w:b/>
          <w:bCs/>
          <w:noProof w:val="0"/>
          <w:color w:val="000000" w:themeColor="text1"/>
          <w:rtl/>
        </w:rPr>
        <w:t>ת. אנשים שיבואו להתפלל עם תום כי כולם מתפללים למען השלום ואני איש של שלום" (עמוד 12 לפרוטוקול, שורות 3-7).</w:t>
      </w:r>
    </w:p>
    <w:p w:rsidR="00A75C81" w:rsidRDefault="00A75C81" w:rsidP="00A75C81">
      <w:pPr>
        <w:pStyle w:val="ad"/>
        <w:shd w:val="clear" w:color="auto" w:fill="FFFFFF"/>
        <w:tabs>
          <w:tab w:val="left" w:pos="3733"/>
        </w:tabs>
        <w:spacing w:before="100" w:beforeAutospacing="1" w:after="100" w:afterAutospacing="1" w:line="360" w:lineRule="auto"/>
        <w:jc w:val="both"/>
        <w:rPr>
          <w:rFonts w:ascii="David" w:hAnsi="David"/>
          <w:noProof w:val="0"/>
          <w:color w:val="000000" w:themeColor="text1"/>
          <w:rtl/>
        </w:rPr>
      </w:pPr>
    </w:p>
    <w:p w:rsidR="00A75C81" w:rsidRDefault="00A75C81" w:rsidP="00C20DDF">
      <w:pPr>
        <w:pStyle w:val="ad"/>
        <w:numPr>
          <w:ilvl w:val="0"/>
          <w:numId w:val="1"/>
        </w:numPr>
        <w:shd w:val="clear" w:color="auto" w:fill="FFFFFF"/>
        <w:tabs>
          <w:tab w:val="left" w:pos="3733"/>
        </w:tabs>
        <w:spacing w:before="100" w:beforeAutospacing="1" w:after="100" w:afterAutospacing="1" w:line="360" w:lineRule="auto"/>
        <w:ind w:left="927"/>
        <w:jc w:val="both"/>
        <w:rPr>
          <w:rFonts w:ascii="David" w:hAnsi="David"/>
          <w:noProof w:val="0"/>
          <w:color w:val="000000" w:themeColor="text1"/>
        </w:rPr>
      </w:pPr>
      <w:r>
        <w:rPr>
          <w:rFonts w:ascii="David" w:hAnsi="David"/>
          <w:noProof w:val="0"/>
          <w:color w:val="000000" w:themeColor="text1"/>
          <w:rtl/>
        </w:rPr>
        <w:t xml:space="preserve">בעדותו של מר תום הס על הפעילות הראשית של העמותה </w:t>
      </w:r>
      <w:r w:rsidR="00C20DDF">
        <w:rPr>
          <w:rFonts w:ascii="David" w:hAnsi="David" w:hint="cs"/>
          <w:noProof w:val="0"/>
          <w:color w:val="000000" w:themeColor="text1"/>
          <w:rtl/>
        </w:rPr>
        <w:t>העיד</w:t>
      </w:r>
      <w:r>
        <w:rPr>
          <w:rFonts w:ascii="David" w:hAnsi="David"/>
          <w:noProof w:val="0"/>
          <w:color w:val="000000" w:themeColor="text1"/>
          <w:rtl/>
        </w:rPr>
        <w:t xml:space="preserve"> כך:</w:t>
      </w:r>
    </w:p>
    <w:p w:rsidR="00C20DDF" w:rsidRDefault="00C20DDF" w:rsidP="00C20DDF">
      <w:pPr>
        <w:pStyle w:val="ad"/>
        <w:shd w:val="clear" w:color="auto" w:fill="FFFFFF"/>
        <w:tabs>
          <w:tab w:val="left" w:pos="3733"/>
        </w:tabs>
        <w:spacing w:before="100" w:beforeAutospacing="1" w:after="100" w:afterAutospacing="1" w:line="360" w:lineRule="auto"/>
        <w:ind w:left="927"/>
        <w:jc w:val="both"/>
        <w:rPr>
          <w:rFonts w:ascii="David" w:hAnsi="David"/>
          <w:noProof w:val="0"/>
          <w:color w:val="000000" w:themeColor="text1"/>
          <w:rtl/>
        </w:rPr>
      </w:pPr>
    </w:p>
    <w:p w:rsidR="00A75C81" w:rsidRDefault="00A75C81" w:rsidP="00A75C81">
      <w:pPr>
        <w:pStyle w:val="ad"/>
        <w:shd w:val="clear" w:color="auto" w:fill="FFFFFF"/>
        <w:tabs>
          <w:tab w:val="left" w:pos="3733"/>
        </w:tabs>
        <w:spacing w:before="100" w:beforeAutospacing="1" w:after="100" w:afterAutospacing="1" w:line="360" w:lineRule="auto"/>
        <w:ind w:left="1417" w:right="1417"/>
        <w:jc w:val="both"/>
        <w:rPr>
          <w:rFonts w:ascii="David" w:hAnsi="David"/>
          <w:b/>
          <w:bCs/>
          <w:noProof w:val="0"/>
          <w:color w:val="000000" w:themeColor="text1"/>
          <w:rtl/>
        </w:rPr>
      </w:pPr>
      <w:r>
        <w:rPr>
          <w:rFonts w:ascii="David" w:hAnsi="David"/>
          <w:b/>
          <w:bCs/>
          <w:noProof w:val="0"/>
          <w:color w:val="000000" w:themeColor="text1"/>
          <w:rtl/>
        </w:rPr>
        <w:t xml:space="preserve">"ועבודתם [של המתנדבים] במשרה מלאה זה להתפלל למען שלום ירושלים, להיות שומרי ירושלים בשביל היהודים, לערבים </w:t>
      </w:r>
      <w:r>
        <w:rPr>
          <w:rFonts w:ascii="David" w:hAnsi="David"/>
          <w:b/>
          <w:bCs/>
          <w:noProof w:val="0"/>
          <w:color w:val="000000" w:themeColor="text1"/>
          <w:rtl/>
        </w:rPr>
        <w:lastRenderedPageBreak/>
        <w:t>ולשלום האומות [...] אנחנו מקדמים תפילה ברחבי כל העולם כי אנחנו בית התפילה לאומות כל העולם [...] הפעילות הראשית שלנו זה להתפלל 24 שעות ביממה ולהיות שומרי ירושלים" (עמוד 22 לפרוטוקול, שורות 10-21).</w:t>
      </w:r>
    </w:p>
    <w:p w:rsidR="00A75C81" w:rsidRDefault="00A75C81" w:rsidP="00A75C81">
      <w:pPr>
        <w:pStyle w:val="ad"/>
        <w:shd w:val="clear" w:color="auto" w:fill="FFFFFF"/>
        <w:tabs>
          <w:tab w:val="left" w:pos="3733"/>
        </w:tabs>
        <w:spacing w:before="100" w:beforeAutospacing="1" w:after="100" w:afterAutospacing="1" w:line="360" w:lineRule="auto"/>
        <w:ind w:left="1417" w:right="1417"/>
        <w:jc w:val="both"/>
        <w:rPr>
          <w:rFonts w:ascii="David" w:hAnsi="David"/>
          <w:noProof w:val="0"/>
          <w:color w:val="000000" w:themeColor="text1"/>
        </w:rPr>
      </w:pPr>
    </w:p>
    <w:p w:rsidR="00A75C81" w:rsidRDefault="00A75C81" w:rsidP="00A75C81">
      <w:pPr>
        <w:pStyle w:val="ad"/>
        <w:numPr>
          <w:ilvl w:val="0"/>
          <w:numId w:val="1"/>
        </w:numPr>
        <w:shd w:val="clear" w:color="auto" w:fill="FFFFFF"/>
        <w:tabs>
          <w:tab w:val="left" w:pos="3733"/>
        </w:tabs>
        <w:spacing w:before="100" w:beforeAutospacing="1" w:after="100" w:afterAutospacing="1" w:line="360" w:lineRule="auto"/>
        <w:ind w:left="927"/>
        <w:jc w:val="both"/>
        <w:rPr>
          <w:rFonts w:ascii="David" w:hAnsi="David"/>
          <w:noProof w:val="0"/>
          <w:color w:val="000000" w:themeColor="text1"/>
        </w:rPr>
      </w:pPr>
      <w:r>
        <w:rPr>
          <w:rFonts w:ascii="David" w:hAnsi="David"/>
          <w:noProof w:val="0"/>
          <w:color w:val="000000" w:themeColor="text1"/>
          <w:rtl/>
        </w:rPr>
        <w:t>טענות דומות הועלו בפני עיריית ירושלים בהליכים הנוגעים בקביעת הארנונה החלה על הנכס, כמובא בפסקאות 42- 44 לסיכומים מטעם המשיב:</w:t>
      </w:r>
    </w:p>
    <w:p w:rsidR="00C20DDF" w:rsidRDefault="00C20DDF" w:rsidP="00C20DDF">
      <w:pPr>
        <w:pStyle w:val="ad"/>
        <w:shd w:val="clear" w:color="auto" w:fill="FFFFFF"/>
        <w:tabs>
          <w:tab w:val="left" w:pos="3733"/>
        </w:tabs>
        <w:spacing w:before="100" w:beforeAutospacing="1" w:after="100" w:afterAutospacing="1" w:line="360" w:lineRule="auto"/>
        <w:ind w:left="927"/>
        <w:jc w:val="both"/>
        <w:rPr>
          <w:rFonts w:ascii="David" w:hAnsi="David"/>
          <w:noProof w:val="0"/>
          <w:color w:val="000000" w:themeColor="text1"/>
          <w:rtl/>
        </w:rPr>
      </w:pPr>
    </w:p>
    <w:p w:rsidR="00A75C81" w:rsidRDefault="00A75C81" w:rsidP="00A75C81">
      <w:pPr>
        <w:pStyle w:val="ad"/>
        <w:shd w:val="clear" w:color="auto" w:fill="FFFFFF"/>
        <w:tabs>
          <w:tab w:val="left" w:pos="3733"/>
        </w:tabs>
        <w:spacing w:before="100" w:beforeAutospacing="1" w:after="100" w:afterAutospacing="1" w:line="360" w:lineRule="auto"/>
        <w:ind w:left="1417" w:right="1417"/>
        <w:jc w:val="both"/>
        <w:rPr>
          <w:rFonts w:ascii="David" w:hAnsi="David"/>
          <w:b/>
          <w:bCs/>
          <w:noProof w:val="0"/>
          <w:color w:val="000000" w:themeColor="text1"/>
          <w:rtl/>
        </w:rPr>
      </w:pPr>
      <w:r>
        <w:rPr>
          <w:rFonts w:ascii="David" w:hAnsi="David"/>
          <w:b/>
          <w:bCs/>
          <w:noProof w:val="0"/>
          <w:color w:val="000000" w:themeColor="text1"/>
          <w:rtl/>
        </w:rPr>
        <w:t>"[...] במכתב מיום 2.12.10 (עמ' 102 לנספחי תצהיר המשיב), טענה עמותת עצרת כל האומות, באמצעות בא כוחה, כי "עמותה זו הינה עמותת בת של עמותה בעלת אותן המטרות הפועלת בארה"ב ואשר מאוגדים בה מיליוני נוצרים התומכים פיזית, כלכלית ורוחנית במדינת ישראל ובמטרות קיומה של ישראל ושל היהודים החיים בה. לצורך כך, שוכרת העמותה, מאז שנת 2003 את הנכס שבנדון המשמש בחלקו כמקום תפילה לבאי העמותה, למתנדבים השונים ולארגונים נוספים רבים מרחבי העולם ובחלקו האחר כבית הכנסת אורחים או כפונדק לאכסון באיה ומתנדביה הנ"ל ללא כל תמורה כלשהיא" (פסקאות 1-2 למכתב) [ההדגשות הוספו].</w:t>
      </w:r>
    </w:p>
    <w:p w:rsidR="00A75C81" w:rsidRDefault="00A75C81" w:rsidP="00A75C81">
      <w:pPr>
        <w:pStyle w:val="ad"/>
        <w:shd w:val="clear" w:color="auto" w:fill="FFFFFF"/>
        <w:tabs>
          <w:tab w:val="left" w:pos="3733"/>
        </w:tabs>
        <w:spacing w:before="100" w:beforeAutospacing="1" w:after="100" w:afterAutospacing="1" w:line="360" w:lineRule="auto"/>
        <w:ind w:left="1417" w:right="1417"/>
        <w:jc w:val="both"/>
        <w:rPr>
          <w:rFonts w:ascii="David" w:hAnsi="David"/>
          <w:b/>
          <w:bCs/>
          <w:noProof w:val="0"/>
          <w:color w:val="000000" w:themeColor="text1"/>
        </w:rPr>
      </w:pPr>
      <w:r>
        <w:rPr>
          <w:rFonts w:ascii="David" w:hAnsi="David"/>
          <w:b/>
          <w:bCs/>
          <w:noProof w:val="0"/>
          <w:color w:val="000000" w:themeColor="text1"/>
          <w:rtl/>
        </w:rPr>
        <w:t>במכתב השגה מיום 18.3.12 שנשלח למנהל הארנונה בעיריית ירושלים (עמ' 105 לנספחי תצהיר המשיב), מציינת עמותת עצרת כל האומות כי "נציג אף השומה ביקר בנכס לפני כשבועיים... בדק, רשם וצילם ולדברי סאמר הנציג התרשם שאכן המקום משמש כבית תפילה וכפונדק בחינם לנוצרים הבאים מחו"ל להתפלל במקום לשלום ירושלים"</w:t>
      </w:r>
      <w:r>
        <w:rPr>
          <w:rFonts w:ascii="David" w:hAnsi="David"/>
          <w:b/>
          <w:bCs/>
          <w:noProof w:val="0"/>
          <w:color w:val="000000" w:themeColor="text1"/>
        </w:rPr>
        <w:t xml:space="preserve"> </w:t>
      </w:r>
      <w:r>
        <w:rPr>
          <w:rFonts w:ascii="David" w:hAnsi="David"/>
          <w:b/>
          <w:bCs/>
          <w:noProof w:val="0"/>
          <w:color w:val="000000" w:themeColor="text1"/>
          <w:rtl/>
        </w:rPr>
        <w:t>(פסקה 3 למכתב).</w:t>
      </w:r>
    </w:p>
    <w:p w:rsidR="00A75C81" w:rsidRDefault="00A75C81" w:rsidP="00A75C81">
      <w:pPr>
        <w:pStyle w:val="ad"/>
        <w:shd w:val="clear" w:color="auto" w:fill="FFFFFF"/>
        <w:tabs>
          <w:tab w:val="left" w:pos="3733"/>
        </w:tabs>
        <w:spacing w:before="100" w:beforeAutospacing="1" w:after="100" w:afterAutospacing="1" w:line="360" w:lineRule="auto"/>
        <w:ind w:left="1417" w:right="1417"/>
        <w:jc w:val="both"/>
        <w:rPr>
          <w:rFonts w:ascii="David" w:hAnsi="David"/>
          <w:b/>
          <w:bCs/>
          <w:noProof w:val="0"/>
          <w:color w:val="000000" w:themeColor="text1"/>
          <w:rtl/>
        </w:rPr>
      </w:pPr>
      <w:r>
        <w:rPr>
          <w:rFonts w:ascii="David" w:hAnsi="David"/>
          <w:b/>
          <w:bCs/>
          <w:noProof w:val="0"/>
          <w:color w:val="000000" w:themeColor="text1"/>
          <w:rtl/>
        </w:rPr>
        <w:t>במכתב נוסף לאגף הגבייה בעיריית ירושלים, מיום 4.8.20 (עמ' 11 לנספחי תצהיר המשיב) נמסר על ידי בא כוח עמותת עצרת כל האומות כך: "מרשתי מפעילה את הנכס לצורכי תפילה  ואכסניה לעולי רגל בחינם..." (פיסקה 1 למכתב)."</w:t>
      </w:r>
    </w:p>
    <w:p w:rsidR="00A75C81" w:rsidRDefault="00A75C81" w:rsidP="00A75C81">
      <w:pPr>
        <w:pStyle w:val="ad"/>
        <w:shd w:val="clear" w:color="auto" w:fill="FFFFFF"/>
        <w:tabs>
          <w:tab w:val="left" w:pos="3733"/>
        </w:tabs>
        <w:spacing w:before="100" w:beforeAutospacing="1" w:after="100" w:afterAutospacing="1" w:line="360" w:lineRule="auto"/>
        <w:jc w:val="both"/>
        <w:rPr>
          <w:rFonts w:ascii="David" w:hAnsi="David"/>
          <w:noProof w:val="0"/>
          <w:color w:val="000000" w:themeColor="text1"/>
          <w:rtl/>
        </w:rPr>
      </w:pPr>
    </w:p>
    <w:p w:rsidR="00A75C81" w:rsidRDefault="00A75C81" w:rsidP="00A75C81">
      <w:pPr>
        <w:pStyle w:val="ad"/>
        <w:numPr>
          <w:ilvl w:val="0"/>
          <w:numId w:val="1"/>
        </w:numPr>
        <w:spacing w:line="360" w:lineRule="auto"/>
        <w:ind w:left="927"/>
        <w:jc w:val="both"/>
        <w:rPr>
          <w:rFonts w:ascii="David" w:hAnsi="David"/>
          <w:noProof w:val="0"/>
          <w:rtl/>
        </w:rPr>
      </w:pPr>
      <w:r>
        <w:rPr>
          <w:rFonts w:ascii="David" w:hAnsi="David"/>
          <w:noProof w:val="0"/>
          <w:rtl/>
        </w:rPr>
        <w:t>שני הצדדים טענו בהרחבה לעניין השלכות השתלשלות האירועים הקשורים לנושא הארנונה. בהחלטתו נסמך המשיב, בין היתר, על אופן חישוב הארנונה שנעשה לנכס שאינו למגורים. החישוב הינו על סמך הוראות סעיף 4(א)(2)(ו) לפקודת מיסי עירייה ומיסי ממשלה המעניק פטור למוסד דת בשל אופי הפעילות המתקיימת בנכס.</w:t>
      </w:r>
    </w:p>
    <w:p w:rsidR="00A75C81" w:rsidRDefault="00A75C81" w:rsidP="00A75C81">
      <w:pPr>
        <w:pStyle w:val="ad"/>
        <w:spacing w:line="360" w:lineRule="auto"/>
        <w:jc w:val="both"/>
        <w:rPr>
          <w:rFonts w:ascii="David" w:hAnsi="David"/>
          <w:noProof w:val="0"/>
          <w:rtl/>
        </w:rPr>
      </w:pPr>
    </w:p>
    <w:p w:rsidR="00A75C81" w:rsidRDefault="00A75C81" w:rsidP="00C20DDF">
      <w:pPr>
        <w:pStyle w:val="ad"/>
        <w:numPr>
          <w:ilvl w:val="0"/>
          <w:numId w:val="1"/>
        </w:numPr>
        <w:spacing w:line="360" w:lineRule="auto"/>
        <w:ind w:left="927"/>
        <w:jc w:val="both"/>
        <w:rPr>
          <w:rFonts w:ascii="David" w:hAnsi="David"/>
          <w:noProof w:val="0"/>
        </w:rPr>
      </w:pPr>
      <w:r>
        <w:rPr>
          <w:rFonts w:ascii="David" w:hAnsi="David"/>
          <w:noProof w:val="0"/>
          <w:rtl/>
        </w:rPr>
        <w:lastRenderedPageBreak/>
        <w:t xml:space="preserve">העוררים ביקשו להיבנות מהטענה כי אין באופן חישוב הארנונה ועובדת מתן פטור למוסד דת על ידי חוק אחר שתכליתו שונה, כדי לאיין את אופיו של הנכס ולהוציאו מכלל "דירת מגורים". בנוסף טענו, כי השימוש לצרכי דת ותפילה נכנס לתחולת דירת מגורים מזכה ועל כן אין ברישום לצרכי ארנונה משום הוכחה סותרת. ועוד, לטענתם המבחן המשפטי- תכנוני, מבחן הרישום, הינו מוגבל ואינו עומד עצמאית, כך שלא ניתן לאשר או לשלול את הסטטוס של "דירת מגורים" על פיו בלבד. </w:t>
      </w:r>
    </w:p>
    <w:p w:rsidR="00A75C81" w:rsidRDefault="00A75C81" w:rsidP="00A75C81">
      <w:pPr>
        <w:pStyle w:val="ad"/>
        <w:spacing w:line="360" w:lineRule="auto"/>
        <w:jc w:val="both"/>
        <w:rPr>
          <w:rFonts w:ascii="David" w:hAnsi="David"/>
          <w:noProof w:val="0"/>
          <w:highlight w:val="yellow"/>
        </w:rPr>
      </w:pPr>
    </w:p>
    <w:p w:rsidR="00A75C81" w:rsidRDefault="00A75C81" w:rsidP="00C20DDF">
      <w:pPr>
        <w:pStyle w:val="ad"/>
        <w:numPr>
          <w:ilvl w:val="0"/>
          <w:numId w:val="1"/>
        </w:numPr>
        <w:shd w:val="clear" w:color="auto" w:fill="FFFFFF"/>
        <w:tabs>
          <w:tab w:val="left" w:pos="3733"/>
        </w:tabs>
        <w:spacing w:before="100" w:beforeAutospacing="1" w:after="100" w:afterAutospacing="1" w:line="360" w:lineRule="auto"/>
        <w:ind w:left="927"/>
        <w:jc w:val="both"/>
        <w:rPr>
          <w:rFonts w:ascii="David" w:hAnsi="David"/>
          <w:noProof w:val="0"/>
          <w:color w:val="000000" w:themeColor="text1"/>
        </w:rPr>
      </w:pPr>
      <w:r>
        <w:rPr>
          <w:rFonts w:ascii="David" w:hAnsi="David"/>
          <w:noProof w:val="0"/>
          <w:rtl/>
        </w:rPr>
        <w:t>טענות אלו של העוררים מעוררות קשיים</w:t>
      </w:r>
      <w:r w:rsidR="00C20DDF">
        <w:rPr>
          <w:rFonts w:ascii="David" w:hAnsi="David" w:hint="cs"/>
          <w:noProof w:val="0"/>
          <w:rtl/>
        </w:rPr>
        <w:t>.</w:t>
      </w:r>
      <w:r>
        <w:rPr>
          <w:rFonts w:ascii="David" w:hAnsi="David"/>
          <w:noProof w:val="0"/>
          <w:rtl/>
        </w:rPr>
        <w:t xml:space="preserve"> </w:t>
      </w:r>
      <w:r>
        <w:rPr>
          <w:rFonts w:ascii="David" w:hAnsi="David"/>
          <w:noProof w:val="0"/>
          <w:color w:val="000000" w:themeColor="text1"/>
          <w:rtl/>
        </w:rPr>
        <w:t xml:space="preserve">הן בהליך זה והן בפניות לעיריית ירושלים בסוגית הארנונה, ניתן לראות כי לשיטת העוררים עצמם, השימוש במבנה אינו למטרת מגורים. ברי כי העוררים מושתקים מלטעון אחר לאחר שבהליך אחר נהנו מהקביעות האמורות. יפים לעניין זה דברי בית המשפט העליון בע"א 8659/12 </w:t>
      </w:r>
      <w:r>
        <w:rPr>
          <w:rFonts w:ascii="David" w:hAnsi="David"/>
          <w:b/>
          <w:bCs/>
          <w:noProof w:val="0"/>
          <w:color w:val="000000" w:themeColor="text1"/>
          <w:rtl/>
        </w:rPr>
        <w:t>רויכמן</w:t>
      </w:r>
      <w:r>
        <w:rPr>
          <w:rFonts w:ascii="David" w:hAnsi="David"/>
          <w:noProof w:val="0"/>
          <w:color w:val="000000" w:themeColor="text1"/>
          <w:rtl/>
        </w:rPr>
        <w:t xml:space="preserve"> </w:t>
      </w:r>
      <w:r>
        <w:rPr>
          <w:rFonts w:ascii="David" w:hAnsi="David"/>
          <w:b/>
          <w:bCs/>
          <w:noProof w:val="0"/>
          <w:color w:val="000000" w:themeColor="text1"/>
          <w:rtl/>
        </w:rPr>
        <w:t>נ'</w:t>
      </w:r>
      <w:r>
        <w:rPr>
          <w:rFonts w:ascii="David" w:hAnsi="David"/>
          <w:noProof w:val="0"/>
          <w:color w:val="000000" w:themeColor="text1"/>
          <w:rtl/>
        </w:rPr>
        <w:t xml:space="preserve"> </w:t>
      </w:r>
      <w:r>
        <w:rPr>
          <w:rFonts w:ascii="David" w:hAnsi="David"/>
          <w:b/>
          <w:bCs/>
          <w:noProof w:val="0"/>
          <w:color w:val="000000" w:themeColor="text1"/>
          <w:rtl/>
        </w:rPr>
        <w:t>מדינת ישראל- פקיד שומה חיפה</w:t>
      </w:r>
      <w:r>
        <w:rPr>
          <w:rFonts w:ascii="David" w:hAnsi="David"/>
          <w:noProof w:val="0"/>
          <w:color w:val="000000" w:themeColor="text1"/>
          <w:rtl/>
        </w:rPr>
        <w:t xml:space="preserve"> (10.12.14):</w:t>
      </w:r>
    </w:p>
    <w:p w:rsidR="00C20DDF" w:rsidRDefault="00C20DDF" w:rsidP="00C20DDF">
      <w:pPr>
        <w:pStyle w:val="ad"/>
        <w:shd w:val="clear" w:color="auto" w:fill="FFFFFF"/>
        <w:tabs>
          <w:tab w:val="left" w:pos="3733"/>
        </w:tabs>
        <w:spacing w:before="100" w:beforeAutospacing="1" w:after="100" w:afterAutospacing="1" w:line="360" w:lineRule="auto"/>
        <w:ind w:left="927"/>
        <w:jc w:val="both"/>
        <w:rPr>
          <w:rFonts w:ascii="David" w:hAnsi="David"/>
          <w:noProof w:val="0"/>
          <w:color w:val="000000" w:themeColor="text1"/>
        </w:rPr>
      </w:pPr>
    </w:p>
    <w:p w:rsidR="00A75C81" w:rsidRDefault="00A75C81" w:rsidP="00A75C81">
      <w:pPr>
        <w:pStyle w:val="ad"/>
        <w:shd w:val="clear" w:color="auto" w:fill="FFFFFF"/>
        <w:tabs>
          <w:tab w:val="left" w:pos="3733"/>
        </w:tabs>
        <w:spacing w:before="100" w:beforeAutospacing="1" w:after="100" w:afterAutospacing="1" w:line="360" w:lineRule="auto"/>
        <w:ind w:left="1417" w:right="1417"/>
        <w:jc w:val="both"/>
        <w:rPr>
          <w:rFonts w:ascii="David" w:hAnsi="David"/>
          <w:b/>
          <w:bCs/>
          <w:noProof w:val="0"/>
          <w:color w:val="000000" w:themeColor="text1"/>
          <w:rtl/>
        </w:rPr>
      </w:pPr>
      <w:r>
        <w:rPr>
          <w:rFonts w:ascii="David" w:hAnsi="David"/>
          <w:b/>
          <w:bCs/>
          <w:noProof w:val="0"/>
          <w:color w:val="000000" w:themeColor="text1"/>
          <w:rtl/>
        </w:rPr>
        <w:t>"במקרה זה, העובדה כי המערער טען בהליך אחר כלפי שלטונות המס לקיומו של חוב מס, כאשר הדבר פעל לטובתו והוא נהנה מהטבה מכך, יוצרת כלפיו "השתק שיפוטי" המונע ממנו מלטעון בהליך הנוכחי להיעדר קיומו של חוב מס זה"</w:t>
      </w:r>
      <w:r>
        <w:rPr>
          <w:rFonts w:ascii="David" w:hAnsi="David"/>
          <w:b/>
          <w:bCs/>
          <w:noProof w:val="0"/>
          <w:color w:val="000000" w:themeColor="text1"/>
        </w:rPr>
        <w:t>.</w:t>
      </w:r>
      <w:r>
        <w:rPr>
          <w:rFonts w:ascii="David" w:hAnsi="David"/>
          <w:b/>
          <w:bCs/>
          <w:noProof w:val="0"/>
          <w:color w:val="000000" w:themeColor="text1"/>
          <w:rtl/>
        </w:rPr>
        <w:t xml:space="preserve"> (פסקה 19 לפסק דינו של כבוד השופט זילברטל).</w:t>
      </w:r>
    </w:p>
    <w:p w:rsidR="00A75C81" w:rsidRDefault="00A75C81" w:rsidP="00A75C81">
      <w:pPr>
        <w:pStyle w:val="ad"/>
        <w:shd w:val="clear" w:color="auto" w:fill="FFFFFF"/>
        <w:tabs>
          <w:tab w:val="left" w:pos="3733"/>
        </w:tabs>
        <w:spacing w:before="100" w:beforeAutospacing="1" w:after="100" w:afterAutospacing="1" w:line="360" w:lineRule="auto"/>
        <w:ind w:left="1417" w:right="1417"/>
        <w:jc w:val="both"/>
        <w:rPr>
          <w:rFonts w:ascii="David" w:hAnsi="David"/>
          <w:b/>
          <w:bCs/>
          <w:noProof w:val="0"/>
          <w:color w:val="000000" w:themeColor="text1"/>
        </w:rPr>
      </w:pPr>
    </w:p>
    <w:p w:rsidR="00C20DDF" w:rsidRPr="00D02335" w:rsidRDefault="00A75C81" w:rsidP="004328CD">
      <w:pPr>
        <w:pStyle w:val="ad"/>
        <w:numPr>
          <w:ilvl w:val="0"/>
          <w:numId w:val="1"/>
        </w:numPr>
        <w:shd w:val="clear" w:color="auto" w:fill="FFFFFF"/>
        <w:tabs>
          <w:tab w:val="left" w:pos="3733"/>
        </w:tabs>
        <w:spacing w:before="100" w:beforeAutospacing="1" w:after="100" w:afterAutospacing="1" w:line="360" w:lineRule="auto"/>
        <w:ind w:left="927"/>
        <w:jc w:val="both"/>
        <w:rPr>
          <w:rFonts w:ascii="David" w:hAnsi="David"/>
          <w:noProof w:val="0"/>
          <w:color w:val="000000" w:themeColor="text1"/>
        </w:rPr>
      </w:pPr>
      <w:r>
        <w:rPr>
          <w:rFonts w:ascii="David" w:hAnsi="David"/>
          <w:noProof w:val="0"/>
          <w:color w:val="000000" w:themeColor="text1"/>
          <w:rtl/>
        </w:rPr>
        <w:t>המסקנה היא</w:t>
      </w:r>
      <w:r w:rsidR="00C20DDF">
        <w:rPr>
          <w:rFonts w:ascii="David" w:hAnsi="David" w:hint="cs"/>
          <w:noProof w:val="0"/>
          <w:color w:val="000000" w:themeColor="text1"/>
          <w:rtl/>
        </w:rPr>
        <w:t xml:space="preserve"> כי</w:t>
      </w:r>
      <w:r>
        <w:rPr>
          <w:rFonts w:ascii="David" w:hAnsi="David"/>
          <w:noProof w:val="0"/>
          <w:color w:val="000000" w:themeColor="text1"/>
          <w:rtl/>
        </w:rPr>
        <w:t xml:space="preserve"> הבית שימש כאכסניה או כפונדק לאכסון מתנדבי העמותה שהגיעו לישראל ושהו במקום</w:t>
      </w:r>
      <w:r w:rsidR="00C20DDF">
        <w:rPr>
          <w:rFonts w:ascii="David" w:hAnsi="David" w:hint="cs"/>
          <w:noProof w:val="0"/>
          <w:color w:val="000000" w:themeColor="text1"/>
          <w:rtl/>
        </w:rPr>
        <w:t xml:space="preserve"> ועל כן, אין לראות בו כ"דירת מגורים"</w:t>
      </w:r>
      <w:r w:rsidRPr="00C20DDF">
        <w:rPr>
          <w:rFonts w:ascii="David" w:hAnsi="David"/>
          <w:noProof w:val="0"/>
          <w:color w:val="000000" w:themeColor="text1"/>
          <w:rtl/>
        </w:rPr>
        <w:t>.</w:t>
      </w:r>
    </w:p>
    <w:p w:rsidR="00A75C81" w:rsidRPr="004328CD" w:rsidRDefault="00A75C81" w:rsidP="00D02335">
      <w:pPr>
        <w:shd w:val="clear" w:color="auto" w:fill="FFFFFF"/>
        <w:tabs>
          <w:tab w:val="left" w:pos="3733"/>
        </w:tabs>
        <w:spacing w:before="100" w:beforeAutospacing="1" w:after="100" w:afterAutospacing="1" w:line="360" w:lineRule="auto"/>
        <w:ind w:right="1417"/>
        <w:jc w:val="both"/>
        <w:rPr>
          <w:rFonts w:ascii="David" w:hAnsi="David"/>
          <w:noProof w:val="0"/>
          <w:color w:val="000000" w:themeColor="text1"/>
          <w:u w:val="single"/>
        </w:rPr>
      </w:pPr>
      <w:r w:rsidRPr="004328CD">
        <w:rPr>
          <w:rFonts w:ascii="David" w:hAnsi="David"/>
          <w:noProof w:val="0"/>
          <w:color w:val="000000" w:themeColor="text1"/>
          <w:u w:val="single"/>
          <w:rtl/>
        </w:rPr>
        <w:t>האם מדובר בדירה "המיועדת למגורים לפי טיבה"</w:t>
      </w:r>
    </w:p>
    <w:p w:rsidR="00A75C81" w:rsidRDefault="00A75C81" w:rsidP="00A75C81">
      <w:pPr>
        <w:pStyle w:val="ad"/>
        <w:numPr>
          <w:ilvl w:val="0"/>
          <w:numId w:val="1"/>
        </w:numPr>
        <w:shd w:val="clear" w:color="auto" w:fill="FFFFFF"/>
        <w:spacing w:before="100" w:beforeAutospacing="1" w:after="100" w:afterAutospacing="1" w:line="360" w:lineRule="auto"/>
        <w:ind w:left="927"/>
        <w:jc w:val="both"/>
        <w:rPr>
          <w:rFonts w:ascii="David" w:hAnsi="David"/>
          <w:noProof w:val="0"/>
          <w:color w:val="000000" w:themeColor="text1"/>
          <w:sz w:val="22"/>
          <w:szCs w:val="22"/>
          <w:rtl/>
        </w:rPr>
      </w:pPr>
      <w:r>
        <w:rPr>
          <w:rFonts w:ascii="David" w:hAnsi="David"/>
          <w:sz w:val="22"/>
          <w:rtl/>
        </w:rPr>
        <w:t>לדידי, גם התשובה לשאלה זו היא שלילית</w:t>
      </w:r>
      <w:r w:rsidR="00C20DDF">
        <w:rPr>
          <w:rFonts w:ascii="David" w:hAnsi="David" w:hint="cs"/>
          <w:sz w:val="22"/>
          <w:rtl/>
        </w:rPr>
        <w:t>, מן הטעמים שיפורטו להלן</w:t>
      </w:r>
      <w:r>
        <w:rPr>
          <w:rFonts w:ascii="David" w:hAnsi="David"/>
          <w:sz w:val="22"/>
          <w:rtl/>
        </w:rPr>
        <w:t>.</w:t>
      </w:r>
    </w:p>
    <w:p w:rsidR="00A75C81" w:rsidRDefault="00A75C81" w:rsidP="00A75C81">
      <w:pPr>
        <w:pStyle w:val="ad"/>
        <w:shd w:val="clear" w:color="auto" w:fill="FFFFFF"/>
        <w:spacing w:before="100" w:beforeAutospacing="1" w:after="100" w:afterAutospacing="1" w:line="360" w:lineRule="auto"/>
        <w:jc w:val="both"/>
        <w:rPr>
          <w:rFonts w:ascii="David" w:hAnsi="David"/>
          <w:noProof w:val="0"/>
          <w:color w:val="000000" w:themeColor="text1"/>
          <w:sz w:val="22"/>
          <w:szCs w:val="22"/>
          <w:rtl/>
        </w:rPr>
      </w:pPr>
    </w:p>
    <w:p w:rsidR="00A75C81" w:rsidRDefault="00A75C81" w:rsidP="00A75C81">
      <w:pPr>
        <w:pStyle w:val="ad"/>
        <w:numPr>
          <w:ilvl w:val="0"/>
          <w:numId w:val="1"/>
        </w:numPr>
        <w:shd w:val="clear" w:color="auto" w:fill="FFFFFF"/>
        <w:spacing w:before="100" w:beforeAutospacing="1" w:after="100" w:afterAutospacing="1" w:line="360" w:lineRule="auto"/>
        <w:ind w:left="927"/>
        <w:jc w:val="both"/>
        <w:rPr>
          <w:rFonts w:ascii="David" w:hAnsi="David"/>
          <w:noProof w:val="0"/>
          <w:color w:val="000000" w:themeColor="text1"/>
          <w:sz w:val="22"/>
          <w:szCs w:val="22"/>
        </w:rPr>
      </w:pPr>
      <w:r>
        <w:rPr>
          <w:rFonts w:ascii="David" w:hAnsi="David"/>
          <w:sz w:val="22"/>
          <w:rtl/>
        </w:rPr>
        <w:t>לצורך בחינת השאלה האם הדירה "מיועדת למגורים לפי טיבה"</w:t>
      </w:r>
      <w:r>
        <w:rPr>
          <w:rFonts w:ascii="David" w:hAnsi="David"/>
          <w:noProof w:val="0"/>
          <w:sz w:val="22"/>
          <w:rtl/>
        </w:rPr>
        <w:t xml:space="preserve"> יש להפעיל מבחן אובייקטיבי</w:t>
      </w:r>
      <w:r>
        <w:rPr>
          <w:rFonts w:ascii="David" w:hAnsi="David"/>
          <w:sz w:val="22"/>
          <w:rtl/>
        </w:rPr>
        <w:t xml:space="preserve"> ולבדוק קיומו של פוטנציאל ממשי להשתמש בדירה למגורים. דירה תחשב כ"דירת מגורים" רק כאשר הדבר עולה בקנה אחד עם תכנית המיתאר, או כאשר יעודה התכנוני הוא למגורים.</w:t>
      </w:r>
    </w:p>
    <w:p w:rsidR="00A75C81" w:rsidRDefault="00A75C81" w:rsidP="00A75C81">
      <w:pPr>
        <w:pStyle w:val="ad"/>
        <w:shd w:val="clear" w:color="auto" w:fill="FFFFFF"/>
        <w:spacing w:before="100" w:beforeAutospacing="1" w:after="100" w:afterAutospacing="1" w:line="360" w:lineRule="auto"/>
        <w:jc w:val="both"/>
        <w:rPr>
          <w:rFonts w:ascii="David" w:hAnsi="David"/>
          <w:noProof w:val="0"/>
          <w:color w:val="000000" w:themeColor="text1"/>
          <w:sz w:val="22"/>
          <w:szCs w:val="22"/>
        </w:rPr>
      </w:pPr>
    </w:p>
    <w:p w:rsidR="00A75C81" w:rsidRDefault="00A75C81" w:rsidP="004328CD">
      <w:pPr>
        <w:pStyle w:val="ad"/>
        <w:numPr>
          <w:ilvl w:val="0"/>
          <w:numId w:val="1"/>
        </w:numPr>
        <w:shd w:val="clear" w:color="auto" w:fill="FFFFFF"/>
        <w:spacing w:before="100" w:beforeAutospacing="1" w:after="100" w:afterAutospacing="1" w:line="360" w:lineRule="auto"/>
        <w:ind w:left="927"/>
        <w:jc w:val="both"/>
        <w:rPr>
          <w:rFonts w:ascii="David" w:hAnsi="David"/>
          <w:noProof w:val="0"/>
          <w:color w:val="000000" w:themeColor="text1"/>
        </w:rPr>
      </w:pPr>
      <w:r>
        <w:rPr>
          <w:rFonts w:ascii="David" w:hAnsi="David"/>
          <w:color w:val="000000" w:themeColor="text1"/>
          <w:rtl/>
        </w:rPr>
        <w:t xml:space="preserve">בעניין </w:t>
      </w:r>
      <w:r>
        <w:rPr>
          <w:rFonts w:ascii="David" w:hAnsi="David"/>
          <w:b/>
          <w:bCs/>
          <w:color w:val="000000" w:themeColor="text1"/>
          <w:rtl/>
        </w:rPr>
        <w:t>גולן</w:t>
      </w:r>
      <w:r>
        <w:rPr>
          <w:rFonts w:ascii="David" w:hAnsi="David"/>
          <w:color w:val="000000" w:themeColor="text1"/>
          <w:rtl/>
        </w:rPr>
        <w:t xml:space="preserve"> </w:t>
      </w:r>
      <w:r>
        <w:rPr>
          <w:rFonts w:ascii="David" w:hAnsi="David"/>
          <w:noProof w:val="0"/>
          <w:color w:val="000000" w:themeColor="text1"/>
          <w:rtl/>
        </w:rPr>
        <w:t xml:space="preserve">נדחתה טענת מוכרי הבית כי מדובר בדירה "המיועדת למגורים לפי טיבה", </w:t>
      </w:r>
      <w:r w:rsidR="004328CD">
        <w:rPr>
          <w:rFonts w:ascii="David" w:hAnsi="David" w:hint="cs"/>
          <w:noProof w:val="0"/>
          <w:color w:val="000000" w:themeColor="text1"/>
          <w:rtl/>
        </w:rPr>
        <w:t>ו</w:t>
      </w:r>
      <w:r w:rsidRPr="00C20DDF">
        <w:rPr>
          <w:rFonts w:ascii="David" w:hAnsi="David"/>
          <w:color w:val="000000" w:themeColor="text1"/>
          <w:rtl/>
        </w:rPr>
        <w:t>בית המשפט העליון קבע כך:</w:t>
      </w:r>
    </w:p>
    <w:p w:rsidR="00C20DDF" w:rsidRPr="00C20DDF" w:rsidRDefault="00C20DDF" w:rsidP="00C20DDF">
      <w:pPr>
        <w:pStyle w:val="ad"/>
        <w:rPr>
          <w:rFonts w:ascii="David" w:hAnsi="David"/>
          <w:noProof w:val="0"/>
          <w:color w:val="000000" w:themeColor="text1"/>
          <w:rtl/>
        </w:rPr>
      </w:pPr>
    </w:p>
    <w:p w:rsidR="00C20DDF" w:rsidRPr="00C20DDF" w:rsidRDefault="00C20DDF" w:rsidP="00C20DDF">
      <w:pPr>
        <w:pStyle w:val="ad"/>
        <w:shd w:val="clear" w:color="auto" w:fill="FFFFFF"/>
        <w:spacing w:before="100" w:beforeAutospacing="1" w:after="100" w:afterAutospacing="1" w:line="360" w:lineRule="auto"/>
        <w:ind w:left="927"/>
        <w:jc w:val="both"/>
        <w:rPr>
          <w:rFonts w:ascii="David" w:hAnsi="David"/>
          <w:noProof w:val="0"/>
          <w:color w:val="000000" w:themeColor="text1"/>
          <w:rtl/>
        </w:rPr>
      </w:pPr>
    </w:p>
    <w:p w:rsidR="00A75C81" w:rsidRDefault="00A75C81" w:rsidP="00A75C81">
      <w:pPr>
        <w:pStyle w:val="ad"/>
        <w:shd w:val="clear" w:color="auto" w:fill="FFFFFF"/>
        <w:spacing w:before="100" w:beforeAutospacing="1" w:after="100" w:afterAutospacing="1" w:line="360" w:lineRule="auto"/>
        <w:ind w:left="1417" w:right="1417"/>
        <w:jc w:val="both"/>
        <w:rPr>
          <w:rFonts w:ascii="David" w:hAnsi="David"/>
          <w:b/>
          <w:bCs/>
          <w:noProof w:val="0"/>
          <w:color w:val="000000"/>
        </w:rPr>
      </w:pPr>
      <w:r>
        <w:rPr>
          <w:rFonts w:ascii="David" w:hAnsi="David"/>
          <w:b/>
          <w:bCs/>
          <w:noProof w:val="0"/>
          <w:color w:val="000000"/>
          <w:rtl/>
        </w:rPr>
        <w:lastRenderedPageBreak/>
        <w:t>"עמדת המערערים היא, כי דירה שנבנתה מלכתחילה כדירת מגורים, באזור המיועד למגורים, אינה משנה את אופיה כדירת מגורים, "אפילו יהיו בה </w:t>
      </w:r>
      <w:r>
        <w:rPr>
          <w:rFonts w:ascii="David" w:hAnsi="David"/>
          <w:b/>
          <w:bCs/>
          <w:noProof w:val="0"/>
          <w:color w:val="000000"/>
        </w:rPr>
        <w:t xml:space="preserve"> 30</w:t>
      </w:r>
      <w:r>
        <w:rPr>
          <w:rFonts w:ascii="David" w:hAnsi="David"/>
          <w:b/>
          <w:bCs/>
          <w:noProof w:val="0"/>
          <w:color w:val="000000"/>
          <w:rtl/>
        </w:rPr>
        <w:t>חדרי שינה ו-</w:t>
      </w:r>
      <w:r>
        <w:rPr>
          <w:rFonts w:ascii="David" w:hAnsi="David"/>
          <w:b/>
          <w:bCs/>
          <w:noProof w:val="0"/>
          <w:color w:val="000000"/>
        </w:rPr>
        <w:t> 10</w:t>
      </w:r>
      <w:r>
        <w:rPr>
          <w:rFonts w:ascii="David" w:hAnsi="David"/>
          <w:b/>
          <w:bCs/>
          <w:noProof w:val="0"/>
          <w:color w:val="000000"/>
          <w:rtl/>
        </w:rPr>
        <w:t>חדרי שירותים ואמבטיות".</w:t>
      </w:r>
    </w:p>
    <w:p w:rsidR="00A75C81" w:rsidRDefault="00A75C81" w:rsidP="00A75C81">
      <w:pPr>
        <w:pStyle w:val="ad"/>
        <w:shd w:val="clear" w:color="auto" w:fill="FFFFFF"/>
        <w:spacing w:before="100" w:beforeAutospacing="1" w:after="100" w:afterAutospacing="1" w:line="360" w:lineRule="auto"/>
        <w:ind w:left="1417" w:right="1417"/>
        <w:jc w:val="both"/>
        <w:rPr>
          <w:rFonts w:ascii="David" w:hAnsi="David"/>
          <w:b/>
          <w:bCs/>
          <w:noProof w:val="0"/>
          <w:color w:val="000000"/>
        </w:rPr>
      </w:pPr>
      <w:r>
        <w:rPr>
          <w:rFonts w:ascii="David" w:hAnsi="David"/>
          <w:b/>
          <w:bCs/>
          <w:noProof w:val="0"/>
          <w:color w:val="000000"/>
          <w:rtl/>
        </w:rPr>
        <w:t>עמדה זו אינה מקובלת עלי</w:t>
      </w:r>
      <w:r>
        <w:rPr>
          <w:rFonts w:ascii="David" w:hAnsi="David"/>
          <w:b/>
          <w:bCs/>
          <w:noProof w:val="0"/>
          <w:color w:val="000000"/>
        </w:rPr>
        <w:t>.</w:t>
      </w:r>
    </w:p>
    <w:p w:rsidR="00A75C81" w:rsidRDefault="00A75C81" w:rsidP="00A75C81">
      <w:pPr>
        <w:pStyle w:val="ad"/>
        <w:shd w:val="clear" w:color="auto" w:fill="FFFFFF"/>
        <w:spacing w:before="100" w:beforeAutospacing="1" w:after="100" w:afterAutospacing="1" w:line="360" w:lineRule="auto"/>
        <w:ind w:left="1417" w:right="1417"/>
        <w:jc w:val="both"/>
        <w:rPr>
          <w:rFonts w:ascii="David" w:hAnsi="David"/>
          <w:b/>
          <w:bCs/>
          <w:noProof w:val="0"/>
          <w:color w:val="000000"/>
          <w:rtl/>
        </w:rPr>
      </w:pPr>
      <w:r>
        <w:rPr>
          <w:rFonts w:ascii="David" w:hAnsi="David"/>
          <w:b/>
          <w:bCs/>
          <w:noProof w:val="0"/>
          <w:color w:val="000000"/>
          <w:rtl/>
        </w:rPr>
        <w:t>בע"א:</w:t>
      </w:r>
      <w:r>
        <w:rPr>
          <w:rFonts w:ascii="David" w:hAnsi="David"/>
          <w:b/>
          <w:bCs/>
          <w:noProof w:val="0"/>
          <w:color w:val="FFFFFF"/>
          <w:rtl/>
        </w:rPr>
        <w:t>ב</w:t>
      </w:r>
      <w:r>
        <w:rPr>
          <w:rFonts w:ascii="David" w:hAnsi="David"/>
          <w:b/>
          <w:bCs/>
          <w:noProof w:val="0"/>
          <w:color w:val="000000"/>
          <w:rtl/>
        </w:rPr>
        <w:t> </w:t>
      </w:r>
      <w:r>
        <w:rPr>
          <w:rFonts w:ascii="David" w:hAnsi="David"/>
          <w:b/>
          <w:bCs/>
          <w:noProof w:val="0"/>
          <w:color w:val="000000"/>
        </w:rPr>
        <w:t>668/82</w:t>
      </w:r>
      <w:r>
        <w:rPr>
          <w:rFonts w:ascii="David" w:hAnsi="David"/>
          <w:b/>
          <w:bCs/>
          <w:noProof w:val="0"/>
          <w:color w:val="000000"/>
          <w:rtl/>
        </w:rPr>
        <w:t> הותוו הקווים המנחים לבחינת החלופה השנייה שבהגדרת "דירת מגורים", היינו, בחינת הייעוד למגורים "לפי טיבה" של הדירה. נקבע שם, כי מלות החוק "לפי טיבה" מצביעות על כך, שהמחוקק העדיף את המבחן האובייקטיבי לקביעת ייעוד הדירה. משמע, "יש לבדוק את הדירה, כמות שהיא, לצורך מבחן זה ולראות, אם היא מיועדת ועשויה לשמש בפועל למגורים מבחינה פיסית, דהיינו, מבחינת המבנה ומבחינת הימצאותם של מתקנים המצויים בדרך כלל בדירות מגורים והחיוניים לשם שימוש רגיל וסביר של הדיירים, כגון מתקני חשמל ומים, שירותים, מטבח וכיוצא באלה" (שם בעמ' </w:t>
      </w:r>
      <w:r>
        <w:rPr>
          <w:rFonts w:ascii="David" w:hAnsi="David"/>
          <w:b/>
          <w:bCs/>
          <w:noProof w:val="0"/>
          <w:color w:val="000000"/>
        </w:rPr>
        <w:t>387</w:t>
      </w:r>
      <w:r>
        <w:rPr>
          <w:rFonts w:ascii="David" w:hAnsi="David"/>
          <w:b/>
          <w:bCs/>
          <w:noProof w:val="0"/>
          <w:color w:val="000000"/>
          <w:rtl/>
        </w:rPr>
        <w:t>-</w:t>
      </w:r>
      <w:r>
        <w:rPr>
          <w:rFonts w:ascii="David" w:hAnsi="David"/>
          <w:b/>
          <w:bCs/>
          <w:noProof w:val="0"/>
          <w:color w:val="000000"/>
        </w:rPr>
        <w:t>388</w:t>
      </w:r>
      <w:r>
        <w:rPr>
          <w:rFonts w:ascii="David" w:hAnsi="David"/>
          <w:b/>
          <w:bCs/>
          <w:noProof w:val="0"/>
          <w:color w:val="000000"/>
          <w:rtl/>
        </w:rPr>
        <w:t>).</w:t>
      </w:r>
    </w:p>
    <w:p w:rsidR="00A75C81" w:rsidRDefault="00A75C81" w:rsidP="00A75C81">
      <w:pPr>
        <w:pStyle w:val="ad"/>
        <w:shd w:val="clear" w:color="auto" w:fill="FFFFFF"/>
        <w:spacing w:before="100" w:beforeAutospacing="1" w:after="100" w:afterAutospacing="1" w:line="360" w:lineRule="auto"/>
        <w:ind w:left="1417" w:right="1417"/>
        <w:jc w:val="both"/>
        <w:rPr>
          <w:rFonts w:ascii="David" w:hAnsi="David"/>
          <w:b/>
          <w:bCs/>
          <w:noProof w:val="0"/>
          <w:color w:val="000000"/>
          <w:rtl/>
        </w:rPr>
      </w:pPr>
      <w:r>
        <w:rPr>
          <w:rFonts w:ascii="David" w:hAnsi="David"/>
          <w:b/>
          <w:bCs/>
          <w:noProof w:val="0"/>
          <w:color w:val="000000"/>
          <w:rtl/>
        </w:rPr>
        <w:t>כפי שצוין, מדבר החוק בדירה המיועדת לפי טיבה למגורים. סתם המחוקק ולא</w:t>
      </w:r>
      <w:r>
        <w:rPr>
          <w:rFonts w:ascii="David" w:hAnsi="David"/>
          <w:b/>
          <w:bCs/>
          <w:noProof w:val="0"/>
          <w:color w:val="000000"/>
        </w:rPr>
        <w:t> </w:t>
      </w:r>
      <w:r>
        <w:rPr>
          <w:rFonts w:ascii="David" w:hAnsi="David"/>
          <w:b/>
          <w:bCs/>
          <w:noProof w:val="0"/>
          <w:color w:val="000000"/>
          <w:rtl/>
        </w:rPr>
        <w:t>פירש - מגוריהם של מי, אך כוונת הדברים מסתברת היטב מן ההקשר החקיקתי ומתכליתו של פרק חמישי </w:t>
      </w:r>
      <w:r>
        <w:rPr>
          <w:rFonts w:ascii="David" w:hAnsi="David"/>
          <w:b/>
          <w:bCs/>
          <w:noProof w:val="0"/>
          <w:color w:val="000000"/>
        </w:rPr>
        <w:t>1</w:t>
      </w:r>
      <w:r>
        <w:rPr>
          <w:rFonts w:ascii="David" w:hAnsi="David"/>
          <w:b/>
          <w:bCs/>
          <w:noProof w:val="0"/>
          <w:color w:val="000000"/>
          <w:rtl/>
        </w:rPr>
        <w:t>לחוק, הנושא את הכותרת:</w:t>
      </w:r>
      <w:r>
        <w:rPr>
          <w:rFonts w:ascii="David" w:hAnsi="David"/>
          <w:b/>
          <w:bCs/>
          <w:noProof w:val="0"/>
          <w:color w:val="FFFFFF"/>
          <w:rtl/>
        </w:rPr>
        <w:t>ו</w:t>
      </w:r>
      <w:r>
        <w:rPr>
          <w:rFonts w:ascii="David" w:hAnsi="David"/>
          <w:b/>
          <w:bCs/>
          <w:noProof w:val="0"/>
          <w:color w:val="000000"/>
          <w:rtl/>
        </w:rPr>
        <w:t> "פטור לדירת מגורים". הפרק קובע את התנאים לקבלת פטור ממס שבח במכירת דירת מגורים. אלה מוליכים למסקנה, כי המחוקק לא התכוון לפטור מכירתו של נכס מקרקעין המיועד לעסק של מגורים, אלא מכירתה של דירה המיועדת לשימוש פרטי, היינו למגורים של יחיד או של משפחה [...]</w:t>
      </w:r>
    </w:p>
    <w:p w:rsidR="00A75C81" w:rsidRDefault="00A75C81" w:rsidP="00A75C81">
      <w:pPr>
        <w:pStyle w:val="ad"/>
        <w:shd w:val="clear" w:color="auto" w:fill="FFFFFF"/>
        <w:spacing w:before="100" w:beforeAutospacing="1" w:after="100" w:afterAutospacing="1" w:line="360" w:lineRule="auto"/>
        <w:ind w:left="1417" w:right="1417"/>
        <w:jc w:val="both"/>
        <w:rPr>
          <w:rFonts w:ascii="David" w:hAnsi="David"/>
          <w:b/>
          <w:bCs/>
          <w:noProof w:val="0"/>
          <w:color w:val="000000" w:themeColor="text1"/>
          <w:rtl/>
        </w:rPr>
      </w:pPr>
      <w:r>
        <w:rPr>
          <w:rFonts w:ascii="David" w:hAnsi="David"/>
          <w:b/>
          <w:bCs/>
          <w:color w:val="000000"/>
          <w:shd w:val="clear" w:color="auto" w:fill="FFFFFF"/>
          <w:rtl/>
        </w:rPr>
        <w:t>בנסיבותיו של תיק זה, יש בשינויים המבניים, אשר בוצעו בבית במטרה להכשירו לשמש כבית-אבות, כדי להפקיעו מכלל המונח "דירת מגורים". אכן, מלכתחילה נבנה הבית ואף שימש למגוריה של משפחת המערערים, אך השינויים והתוספות שנעשו בו הפכו אותו, למעשה, לאכסניה, ולא לדירה המיועדת, לפי טיבה, לשמש למגורי יחידה משפחתית. קיומם של </w:t>
      </w:r>
      <w:r>
        <w:rPr>
          <w:rFonts w:ascii="David" w:hAnsi="David"/>
          <w:b/>
          <w:bCs/>
          <w:color w:val="000000"/>
          <w:shd w:val="clear" w:color="auto" w:fill="FFFFFF"/>
        </w:rPr>
        <w:t>15</w:t>
      </w:r>
      <w:r>
        <w:rPr>
          <w:rFonts w:ascii="David" w:hAnsi="David"/>
          <w:b/>
          <w:bCs/>
          <w:color w:val="000000"/>
          <w:shd w:val="clear" w:color="auto" w:fill="FFFFFF"/>
          <w:rtl/>
        </w:rPr>
        <w:t xml:space="preserve"> </w:t>
      </w:r>
      <w:r>
        <w:rPr>
          <w:rFonts w:ascii="David" w:hAnsi="David" w:hint="cs"/>
          <w:b/>
          <w:bCs/>
          <w:color w:val="000000"/>
          <w:shd w:val="clear" w:color="auto" w:fill="FFFFFF"/>
          <w:rtl/>
        </w:rPr>
        <w:t>חדרי מגורים, 5 חדרי שירותים, 2 אמבטיות</w:t>
      </w:r>
      <w:r>
        <w:rPr>
          <w:rFonts w:ascii="David" w:hAnsi="David"/>
          <w:b/>
          <w:bCs/>
          <w:color w:val="000000"/>
          <w:shd w:val="clear" w:color="auto" w:fill="FFFFFF"/>
        </w:rPr>
        <w:t>,</w:t>
      </w:r>
      <w:r>
        <w:rPr>
          <w:rFonts w:ascii="David" w:hAnsi="David"/>
          <w:b/>
          <w:bCs/>
          <w:color w:val="000000"/>
          <w:shd w:val="clear" w:color="auto" w:fill="FFFFFF"/>
          <w:rtl/>
        </w:rPr>
        <w:t xml:space="preserve"> 2 מקלחות, ומטבח מרכזי גדול אינו מתיישב אצלנו עם ייעוד למגוריה של משפחה, אלא עם ייעוד לשימוש עסקי למגורים, כגון, בית-אבות, פנימייה או כל עסק אחר, המבוסס על מגורי דיירים שאינם בני-משפחה" (פסקה 4 לפסק הדין של כב' הנשיא (דאז) שמגר)</w:t>
      </w:r>
      <w:r>
        <w:rPr>
          <w:rFonts w:ascii="David" w:hAnsi="David"/>
          <w:b/>
          <w:bCs/>
          <w:noProof w:val="0"/>
          <w:color w:val="000000"/>
          <w:rtl/>
        </w:rPr>
        <w:t>.</w:t>
      </w:r>
    </w:p>
    <w:p w:rsidR="00A75C81" w:rsidRDefault="00A75C81" w:rsidP="00A75C81">
      <w:pPr>
        <w:pStyle w:val="ad"/>
        <w:shd w:val="clear" w:color="auto" w:fill="FFFFFF"/>
        <w:spacing w:before="100" w:beforeAutospacing="1" w:after="100" w:afterAutospacing="1" w:line="360" w:lineRule="auto"/>
        <w:ind w:left="1417" w:right="1417"/>
        <w:jc w:val="both"/>
        <w:rPr>
          <w:rFonts w:ascii="David" w:hAnsi="David"/>
          <w:noProof w:val="0"/>
          <w:color w:val="000000" w:themeColor="text1"/>
          <w:rtl/>
        </w:rPr>
      </w:pPr>
    </w:p>
    <w:p w:rsidR="00A75C81" w:rsidRDefault="00A75C81" w:rsidP="00A75C81">
      <w:pPr>
        <w:pStyle w:val="ad"/>
        <w:numPr>
          <w:ilvl w:val="0"/>
          <w:numId w:val="1"/>
        </w:numPr>
        <w:shd w:val="clear" w:color="auto" w:fill="FFFFFF"/>
        <w:spacing w:before="100" w:beforeAutospacing="1" w:after="100" w:afterAutospacing="1" w:line="360" w:lineRule="auto"/>
        <w:ind w:left="927"/>
        <w:jc w:val="both"/>
        <w:rPr>
          <w:rFonts w:ascii="David" w:hAnsi="David"/>
          <w:noProof w:val="0"/>
          <w:color w:val="000000" w:themeColor="text1"/>
          <w:rtl/>
        </w:rPr>
      </w:pPr>
      <w:r>
        <w:rPr>
          <w:rFonts w:ascii="David" w:hAnsi="David"/>
          <w:noProof w:val="0"/>
          <w:color w:val="000000" w:themeColor="text1"/>
          <w:rtl/>
        </w:rPr>
        <w:t>כפי שצי</w:t>
      </w:r>
      <w:r w:rsidR="00C20DDF">
        <w:rPr>
          <w:rFonts w:ascii="David" w:hAnsi="David" w:hint="cs"/>
          <w:noProof w:val="0"/>
          <w:color w:val="000000" w:themeColor="text1"/>
          <w:rtl/>
        </w:rPr>
        <w:t>י</w:t>
      </w:r>
      <w:r>
        <w:rPr>
          <w:rFonts w:ascii="David" w:hAnsi="David"/>
          <w:noProof w:val="0"/>
          <w:color w:val="000000" w:themeColor="text1"/>
          <w:rtl/>
        </w:rPr>
        <w:t xml:space="preserve">ן המשיב, ואני מסכים, קביעותיו אלו של בית המשפט העליון יפות לעניינו, שכן בולט הדמיון הרב בין שני המקרים. </w:t>
      </w:r>
    </w:p>
    <w:p w:rsidR="00A75C81" w:rsidRDefault="00A75C81" w:rsidP="00A75C81">
      <w:pPr>
        <w:pStyle w:val="ad"/>
        <w:shd w:val="clear" w:color="auto" w:fill="FFFFFF"/>
        <w:spacing w:before="100" w:beforeAutospacing="1" w:after="100" w:afterAutospacing="1" w:line="360" w:lineRule="auto"/>
        <w:jc w:val="both"/>
        <w:rPr>
          <w:rFonts w:ascii="David" w:hAnsi="David"/>
          <w:noProof w:val="0"/>
          <w:color w:val="000000" w:themeColor="text1"/>
        </w:rPr>
      </w:pPr>
    </w:p>
    <w:p w:rsidR="00A75C81" w:rsidRDefault="00A75C81" w:rsidP="00C20DDF">
      <w:pPr>
        <w:pStyle w:val="ad"/>
        <w:numPr>
          <w:ilvl w:val="0"/>
          <w:numId w:val="1"/>
        </w:numPr>
        <w:shd w:val="clear" w:color="auto" w:fill="FFFFFF"/>
        <w:spacing w:before="100" w:beforeAutospacing="1" w:after="100" w:afterAutospacing="1" w:line="360" w:lineRule="auto"/>
        <w:ind w:left="927"/>
        <w:jc w:val="both"/>
        <w:rPr>
          <w:rFonts w:ascii="David" w:hAnsi="David"/>
          <w:noProof w:val="0"/>
          <w:color w:val="000000" w:themeColor="text1"/>
        </w:rPr>
      </w:pPr>
      <w:r>
        <w:rPr>
          <w:rFonts w:ascii="David" w:hAnsi="David"/>
          <w:color w:val="000000" w:themeColor="text1"/>
          <w:rtl/>
        </w:rPr>
        <w:t>העוררים טענו כי</w:t>
      </w:r>
      <w:r>
        <w:rPr>
          <w:rFonts w:ascii="David" w:hAnsi="David"/>
          <w:noProof w:val="0"/>
          <w:color w:val="000000" w:themeColor="text1"/>
          <w:rtl/>
        </w:rPr>
        <w:t xml:space="preserve"> מדובר בבית הקיים בתוככי שכונת מגורים, שנבנה על ידי המוכר לצורך מגורי משפחתו ולפי תכנית והיתר למגורים. אולם, מהמוצג בפניי לא ידוע אם הלכה למעשה שימש המבנה למגורי העורר ומשפחתו. לא ברור מעדות עורר 1 אם התגורר, בשלב כלשהו, במבנה (ראו למשל סעיף 3 לתצהירו בו הצהיר כי המבנה "יועד" למגורי משפחתו; וכן בעדותו, בעמוד 15 לפרוטוקול, שורה 9 במילים "לא היה לי זמן לגור בבית הזה בגלל 1967 [...]"). על כן, לא ניתן להניח כי מלכתחילה מדובר היה בדירה שיועדה למגורים לפי טיבה (ראו גם פסקה 64 לסיכומים מטעם המשיב, עדויות מפי עורר 1).</w:t>
      </w:r>
    </w:p>
    <w:p w:rsidR="00A75C81" w:rsidRDefault="00A75C81" w:rsidP="00A75C81">
      <w:pPr>
        <w:pStyle w:val="ad"/>
        <w:shd w:val="clear" w:color="auto" w:fill="FFFFFF"/>
        <w:spacing w:before="100" w:beforeAutospacing="1" w:after="100" w:afterAutospacing="1" w:line="360" w:lineRule="auto"/>
        <w:jc w:val="both"/>
        <w:rPr>
          <w:rFonts w:ascii="David" w:hAnsi="David"/>
          <w:noProof w:val="0"/>
          <w:color w:val="000000" w:themeColor="text1"/>
        </w:rPr>
      </w:pPr>
    </w:p>
    <w:p w:rsidR="00A75C81" w:rsidRDefault="00A75C81" w:rsidP="00A75C81">
      <w:pPr>
        <w:pStyle w:val="ad"/>
        <w:numPr>
          <w:ilvl w:val="0"/>
          <w:numId w:val="1"/>
        </w:numPr>
        <w:shd w:val="clear" w:color="auto" w:fill="FFFFFF"/>
        <w:spacing w:before="100" w:beforeAutospacing="1" w:after="100" w:afterAutospacing="1" w:line="360" w:lineRule="auto"/>
        <w:ind w:left="927"/>
        <w:jc w:val="both"/>
        <w:rPr>
          <w:rFonts w:ascii="David" w:hAnsi="David"/>
          <w:noProof w:val="0"/>
          <w:color w:val="000000" w:themeColor="text1"/>
        </w:rPr>
      </w:pPr>
      <w:r>
        <w:rPr>
          <w:rFonts w:ascii="David" w:hAnsi="David"/>
          <w:noProof w:val="0"/>
          <w:color w:val="000000" w:themeColor="text1"/>
          <w:rtl/>
        </w:rPr>
        <w:t>אינדיקציה נוספת למבחן האובייקטיבי היא כאמור בחינת הנכס לפי דיני התכנון והבניה. בעניינו לא הוצגו תכנית והיתר למגורים. כאשר נשאל העורר 1 על האפשרות להציג אישורים על בניית הבית באופן חוקי, העיד כי בנה "באופן חוקי, עם הממשלה הירדנית" (עמוד 10 לפרוטוקול, שורות 13-18), אך לא הוצגו אישורים והיתרים לכך. בנוסף, לא הוצגה ראיה לגבי הרחוב בו מצוי המבנה ולגבי המבנים הסמוכים לו. העוררים לא סיפקו כל הוכחה לטענתם לפיה: "[...] הרחוב בו מצויה הדירה מאופיין בבתי מגורים בשטח דומה לבית שבנדון. בצמוד לבית קיימים בתים נוספים בני מספר קומות שנועדו למגורים של כמה משפחות יחד [...]" (פסקה ב.19.7 לסיכומים העוררים).</w:t>
      </w:r>
    </w:p>
    <w:p w:rsidR="00A75C81" w:rsidRDefault="00A75C81" w:rsidP="00A75C81">
      <w:pPr>
        <w:pStyle w:val="ad"/>
        <w:shd w:val="clear" w:color="auto" w:fill="FFFFFF"/>
        <w:spacing w:before="100" w:beforeAutospacing="1" w:after="100" w:afterAutospacing="1" w:line="360" w:lineRule="auto"/>
        <w:jc w:val="both"/>
        <w:rPr>
          <w:rFonts w:ascii="David" w:hAnsi="David"/>
          <w:noProof w:val="0"/>
          <w:color w:val="000000" w:themeColor="text1"/>
        </w:rPr>
      </w:pPr>
    </w:p>
    <w:p w:rsidR="00A75C81" w:rsidRDefault="00A75C81" w:rsidP="00E86340">
      <w:pPr>
        <w:pStyle w:val="ad"/>
        <w:numPr>
          <w:ilvl w:val="0"/>
          <w:numId w:val="1"/>
        </w:numPr>
        <w:shd w:val="clear" w:color="auto" w:fill="FFFFFF"/>
        <w:spacing w:before="100" w:beforeAutospacing="1" w:after="100" w:afterAutospacing="1" w:line="360" w:lineRule="auto"/>
        <w:ind w:left="927"/>
        <w:jc w:val="both"/>
        <w:rPr>
          <w:rFonts w:ascii="David" w:hAnsi="David"/>
          <w:noProof w:val="0"/>
          <w:color w:val="000000" w:themeColor="text1"/>
        </w:rPr>
      </w:pPr>
      <w:r>
        <w:rPr>
          <w:rFonts w:ascii="David" w:hAnsi="David"/>
          <w:noProof w:val="0"/>
          <w:color w:val="000000" w:themeColor="text1"/>
          <w:rtl/>
        </w:rPr>
        <w:t>באשר למבנה הפנימי של הנכס, נראה כי אינו מתיישב עם ייעוד למגוריה של משפחה. סביר יותר בהסתכלות על תיאור הנכס, הוא שהנכס בעל אופי מוסדי. לשיטת העורר 1 בעצמו, כפי שמובאת בנספח ז' לערר:</w:t>
      </w:r>
      <w:r>
        <w:rPr>
          <w:rFonts w:ascii="David" w:hAnsi="David"/>
          <w:noProof w:val="0"/>
          <w:color w:val="000000" w:themeColor="text1"/>
        </w:rPr>
        <w:t xml:space="preserve"> </w:t>
      </w:r>
      <w:r>
        <w:rPr>
          <w:rFonts w:ascii="David" w:hAnsi="David"/>
          <w:noProof w:val="0"/>
          <w:color w:val="000000" w:themeColor="text1"/>
          <w:rtl/>
        </w:rPr>
        <w:t>"בבית 12 חדרי שינה וכ - 10 חדרי שירותים, רובם צמודים</w:t>
      </w:r>
      <w:r w:rsidR="00E86340">
        <w:rPr>
          <w:rFonts w:ascii="David" w:hAnsi="David" w:hint="cs"/>
          <w:noProof w:val="0"/>
          <w:color w:val="000000" w:themeColor="text1"/>
          <w:rtl/>
        </w:rPr>
        <w:t>/</w:t>
      </w:r>
      <w:r w:rsidR="00C20DDF">
        <w:rPr>
          <w:rFonts w:ascii="David" w:hAnsi="David" w:hint="cs"/>
          <w:noProof w:val="0"/>
          <w:color w:val="000000" w:themeColor="text1"/>
          <w:rtl/>
        </w:rPr>
        <w:t xml:space="preserve"> </w:t>
      </w:r>
      <w:r>
        <w:rPr>
          <w:rFonts w:ascii="David" w:hAnsi="David"/>
          <w:noProof w:val="0"/>
          <w:color w:val="000000" w:themeColor="text1"/>
          <w:rtl/>
        </w:rPr>
        <w:t xml:space="preserve">בתוך החדרים" (פסקה 3). </w:t>
      </w:r>
    </w:p>
    <w:p w:rsidR="00A75C81" w:rsidRDefault="00A75C81" w:rsidP="00A75C81">
      <w:pPr>
        <w:pStyle w:val="ad"/>
        <w:shd w:val="clear" w:color="auto" w:fill="FFFFFF"/>
        <w:spacing w:before="100" w:beforeAutospacing="1" w:after="100" w:afterAutospacing="1" w:line="360" w:lineRule="auto"/>
        <w:jc w:val="both"/>
        <w:rPr>
          <w:rFonts w:ascii="David" w:hAnsi="David"/>
          <w:noProof w:val="0"/>
          <w:color w:val="000000" w:themeColor="text1"/>
          <w:rtl/>
        </w:rPr>
      </w:pPr>
    </w:p>
    <w:p w:rsidR="00A75C81" w:rsidRDefault="00A75C81" w:rsidP="00A75C81">
      <w:pPr>
        <w:pStyle w:val="ad"/>
        <w:numPr>
          <w:ilvl w:val="0"/>
          <w:numId w:val="1"/>
        </w:numPr>
        <w:shd w:val="clear" w:color="auto" w:fill="FFFFFF"/>
        <w:spacing w:before="100" w:beforeAutospacing="1" w:after="100" w:afterAutospacing="1" w:line="360" w:lineRule="auto"/>
        <w:ind w:left="927"/>
        <w:jc w:val="both"/>
        <w:rPr>
          <w:rFonts w:ascii="David" w:hAnsi="David"/>
          <w:noProof w:val="0"/>
          <w:color w:val="000000" w:themeColor="text1"/>
        </w:rPr>
      </w:pPr>
      <w:r>
        <w:rPr>
          <w:rFonts w:ascii="David" w:hAnsi="David"/>
          <w:noProof w:val="0"/>
          <w:color w:val="000000" w:themeColor="text1"/>
          <w:rtl/>
        </w:rPr>
        <w:t>עוד לכך, בהחלטה בהשגה מיום 6.9.20 (נספח א' לערר, פסקאות 4-5) תואר הנכס כך:</w:t>
      </w:r>
    </w:p>
    <w:p w:rsidR="00C20DDF" w:rsidRDefault="00C20DDF" w:rsidP="00C20DDF">
      <w:pPr>
        <w:pStyle w:val="ad"/>
        <w:shd w:val="clear" w:color="auto" w:fill="FFFFFF"/>
        <w:spacing w:before="100" w:beforeAutospacing="1" w:after="100" w:afterAutospacing="1" w:line="360" w:lineRule="auto"/>
        <w:ind w:left="927"/>
        <w:jc w:val="both"/>
        <w:rPr>
          <w:rFonts w:ascii="David" w:hAnsi="David"/>
          <w:noProof w:val="0"/>
          <w:color w:val="000000" w:themeColor="text1"/>
        </w:rPr>
      </w:pPr>
    </w:p>
    <w:p w:rsidR="00A75C81" w:rsidRDefault="00A75C81" w:rsidP="00A75C81">
      <w:pPr>
        <w:pStyle w:val="ad"/>
        <w:shd w:val="clear" w:color="auto" w:fill="FFFFFF"/>
        <w:spacing w:before="100" w:beforeAutospacing="1" w:after="100" w:afterAutospacing="1" w:line="360" w:lineRule="auto"/>
        <w:ind w:left="1417" w:right="1417"/>
        <w:jc w:val="both"/>
        <w:rPr>
          <w:rFonts w:ascii="David" w:hAnsi="David"/>
          <w:b/>
          <w:bCs/>
          <w:noProof w:val="0"/>
          <w:color w:val="000000" w:themeColor="text1"/>
        </w:rPr>
      </w:pPr>
      <w:r>
        <w:rPr>
          <w:rFonts w:ascii="David" w:hAnsi="David"/>
          <w:b/>
          <w:bCs/>
          <w:noProof w:val="0"/>
          <w:color w:val="000000" w:themeColor="text1"/>
          <w:rtl/>
        </w:rPr>
        <w:t xml:space="preserve">"הנכס הנדון משתרע כאמור על פני כמה מאות מטרים במספר מפלסים וכולל כמה עשרות חדרים. בביקור המפקח שטיפל בעסקה בשלב א' נראו, בין היתר, חדרים ובהם ציוד משרדי (מחשבים נייחים, מכונת צילום, עמדות עבודה וכיוב'), חדר שעל דלתו שלט באנגלית 'הוצאה לאור' ובו מוצגים פרסומים שונים של העמותה השוכרת ובצדם מחיריהם, מדפים ועליהם קלסרים ועוד. </w:t>
      </w:r>
      <w:r>
        <w:rPr>
          <w:rFonts w:ascii="David" w:hAnsi="David"/>
          <w:b/>
          <w:bCs/>
          <w:noProof w:val="0"/>
          <w:color w:val="000000" w:themeColor="text1"/>
          <w:rtl/>
        </w:rPr>
        <w:lastRenderedPageBreak/>
        <w:t xml:space="preserve">במפלסים הגבוהים יותר קיימים חדרי שינה ובמפלס העליון אולם ישיבות, אשר לגביו </w:t>
      </w:r>
      <w:r>
        <w:rPr>
          <w:rFonts w:ascii="David" w:hAnsi="David"/>
          <w:b/>
          <w:bCs/>
          <w:noProof w:val="0"/>
          <w:color w:val="000000" w:themeColor="text1"/>
          <w:u w:val="single"/>
          <w:rtl/>
        </w:rPr>
        <w:t>נטען</w:t>
      </w:r>
      <w:r>
        <w:rPr>
          <w:rFonts w:ascii="David" w:hAnsi="David"/>
          <w:b/>
          <w:bCs/>
          <w:noProof w:val="0"/>
          <w:color w:val="000000" w:themeColor="text1"/>
          <w:rtl/>
        </w:rPr>
        <w:t xml:space="preserve"> כי הוא משמש לתפילה. </w:t>
      </w:r>
    </w:p>
    <w:p w:rsidR="00A75C81" w:rsidRDefault="00A75C81" w:rsidP="00A75C81">
      <w:pPr>
        <w:pStyle w:val="ad"/>
        <w:shd w:val="clear" w:color="auto" w:fill="FFFFFF"/>
        <w:spacing w:before="100" w:beforeAutospacing="1" w:after="100" w:afterAutospacing="1" w:line="360" w:lineRule="auto"/>
        <w:ind w:left="1417" w:right="1417"/>
        <w:jc w:val="both"/>
        <w:rPr>
          <w:rFonts w:ascii="David" w:hAnsi="David"/>
          <w:b/>
          <w:bCs/>
          <w:noProof w:val="0"/>
          <w:color w:val="000000" w:themeColor="text1"/>
          <w:rtl/>
        </w:rPr>
      </w:pPr>
      <w:r>
        <w:rPr>
          <w:rFonts w:ascii="David" w:hAnsi="David"/>
          <w:b/>
          <w:bCs/>
          <w:noProof w:val="0"/>
          <w:color w:val="000000" w:themeColor="text1"/>
          <w:rtl/>
        </w:rPr>
        <w:t>במפלס התחתון ישנם בין היתר חדר כביסה משותף ובו ארבע מכונות גדולות (תעשייתיות), שני מטבחים גדולים וצמודים, המצוידים במכשור תעשייתי, בדומה לציור הקיים באכסניות או מלוניות, וכן חדר אוכל".</w:t>
      </w:r>
    </w:p>
    <w:p w:rsidR="00A75C81" w:rsidRDefault="00C20DDF" w:rsidP="00C20DDF">
      <w:pPr>
        <w:pStyle w:val="NormalWeb"/>
        <w:numPr>
          <w:ilvl w:val="0"/>
          <w:numId w:val="1"/>
        </w:numPr>
        <w:shd w:val="clear" w:color="auto" w:fill="FFFFFF"/>
        <w:bidi/>
        <w:spacing w:before="0" w:beforeAutospacing="0" w:after="0" w:afterAutospacing="0" w:line="360" w:lineRule="auto"/>
        <w:ind w:left="927"/>
        <w:jc w:val="both"/>
        <w:rPr>
          <w:rFonts w:ascii="David" w:hAnsi="David" w:cs="David"/>
          <w:color w:val="000000" w:themeColor="text1"/>
          <w:rtl/>
        </w:rPr>
      </w:pPr>
      <w:r>
        <w:rPr>
          <w:rFonts w:ascii="David" w:hAnsi="David" w:cs="David"/>
          <w:color w:val="000000" w:themeColor="text1"/>
          <w:rtl/>
        </w:rPr>
        <w:t>נראה כי</w:t>
      </w:r>
      <w:r w:rsidR="00A75C81">
        <w:rPr>
          <w:rFonts w:ascii="David" w:hAnsi="David" w:cs="David"/>
          <w:color w:val="000000" w:themeColor="text1"/>
          <w:rtl/>
        </w:rPr>
        <w:t xml:space="preserve"> מצב הבית כפי שהיה ביום מכירתו, בין שהיה כזה מלכתחילה ובין שנעשו בו שינויים, שהוא אינו כזה המיועד למגורים לפי טיבו. ריבוי החדרים, הלובי, מקום התפילה, המשרדים וממדי הבית</w:t>
      </w:r>
      <w:r>
        <w:rPr>
          <w:rFonts w:ascii="David" w:hAnsi="David" w:cs="David" w:hint="cs"/>
          <w:color w:val="000000" w:themeColor="text1"/>
          <w:rtl/>
        </w:rPr>
        <w:t>,</w:t>
      </w:r>
      <w:r w:rsidR="00A75C81">
        <w:rPr>
          <w:rFonts w:ascii="David" w:hAnsi="David" w:cs="David"/>
          <w:color w:val="000000" w:themeColor="text1"/>
          <w:rtl/>
        </w:rPr>
        <w:t xml:space="preserve"> לרבות המטבחים הגדולים והציוד בהם, אינם תואמים לתיאור דירת מגורים. יותר מסתבר, כי הבית משמש לצרכים מוסדיים וכי אף ניתן לסווגו כמלונית או אכסניה, ובכל אופן לא ניתן יהיה לסווגו ככזה המיועד למגורי משפחה (ראו לעניין זה </w:t>
      </w:r>
      <w:r w:rsidR="00A75C81">
        <w:rPr>
          <w:rFonts w:ascii="David" w:hAnsi="David" w:cs="David"/>
          <w:color w:val="000000"/>
          <w:rtl/>
        </w:rPr>
        <w:t xml:space="preserve">עמ"ש (מחוזי ת"א) 905/96 </w:t>
      </w:r>
      <w:r w:rsidR="00A75C81">
        <w:rPr>
          <w:rFonts w:ascii="David" w:hAnsi="David" w:cs="David"/>
          <w:b/>
          <w:bCs/>
          <w:color w:val="000000"/>
          <w:rtl/>
        </w:rPr>
        <w:t>דוד גנור</w:t>
      </w:r>
      <w:r w:rsidR="00A75C81">
        <w:rPr>
          <w:rFonts w:ascii="David" w:hAnsi="David" w:cs="David"/>
          <w:color w:val="000000"/>
          <w:rtl/>
        </w:rPr>
        <w:t xml:space="preserve"> </w:t>
      </w:r>
      <w:r w:rsidR="00A75C81">
        <w:rPr>
          <w:rFonts w:ascii="David" w:hAnsi="David" w:cs="David"/>
          <w:b/>
          <w:bCs/>
          <w:color w:val="000000"/>
          <w:rtl/>
        </w:rPr>
        <w:t>עו"ד</w:t>
      </w:r>
      <w:r w:rsidR="00A75C81">
        <w:rPr>
          <w:rFonts w:ascii="David" w:hAnsi="David" w:cs="David"/>
          <w:color w:val="000000"/>
          <w:rtl/>
        </w:rPr>
        <w:t xml:space="preserve"> </w:t>
      </w:r>
      <w:r w:rsidR="00A75C81">
        <w:rPr>
          <w:rFonts w:ascii="David" w:hAnsi="David" w:cs="David"/>
          <w:b/>
          <w:bCs/>
          <w:color w:val="000000"/>
          <w:rtl/>
        </w:rPr>
        <w:t>נ'</w:t>
      </w:r>
      <w:r w:rsidR="00A75C81">
        <w:rPr>
          <w:rFonts w:ascii="David" w:hAnsi="David" w:cs="David"/>
          <w:color w:val="000000"/>
          <w:rtl/>
        </w:rPr>
        <w:t xml:space="preserve"> </w:t>
      </w:r>
      <w:r w:rsidR="00A75C81">
        <w:rPr>
          <w:rFonts w:ascii="David" w:hAnsi="David" w:cs="David"/>
          <w:b/>
          <w:bCs/>
          <w:color w:val="000000"/>
          <w:rtl/>
        </w:rPr>
        <w:t>מנהל מס שבח מקרקעין מחוז ת"א</w:t>
      </w:r>
      <w:r w:rsidR="00A75C81">
        <w:rPr>
          <w:rFonts w:ascii="David" w:hAnsi="David" w:cs="David"/>
          <w:color w:val="000000"/>
          <w:rtl/>
        </w:rPr>
        <w:t xml:space="preserve"> (</w:t>
      </w:r>
      <w:r>
        <w:rPr>
          <w:rFonts w:ascii="David" w:hAnsi="David" w:cs="David" w:hint="cs"/>
          <w:color w:val="000000"/>
          <w:rtl/>
        </w:rPr>
        <w:t>5</w:t>
      </w:r>
      <w:r w:rsidR="00A75C81">
        <w:rPr>
          <w:rFonts w:ascii="David" w:hAnsi="David" w:cs="David"/>
          <w:color w:val="000000"/>
          <w:rtl/>
        </w:rPr>
        <w:t>.</w:t>
      </w:r>
      <w:r>
        <w:rPr>
          <w:rFonts w:ascii="David" w:hAnsi="David" w:cs="David" w:hint="cs"/>
          <w:color w:val="000000"/>
          <w:rtl/>
        </w:rPr>
        <w:t>1</w:t>
      </w:r>
      <w:r w:rsidR="00A75C81">
        <w:rPr>
          <w:rFonts w:ascii="David" w:hAnsi="David" w:cs="David"/>
          <w:color w:val="000000"/>
          <w:rtl/>
        </w:rPr>
        <w:t>.1998</w:t>
      </w:r>
      <w:r w:rsidR="00A75C81">
        <w:rPr>
          <w:rFonts w:ascii="David" w:hAnsi="David" w:cs="David"/>
          <w:color w:val="000000" w:themeColor="text1"/>
          <w:rtl/>
        </w:rPr>
        <w:t xml:space="preserve">). כאמור, על מנת לזכות בהטבה, הבית צריך להיות מיועד לשימוש פרטי, קרי אין די בעובדה שמשפחה יכולה הייתה לגור בבית באופן טכני. </w:t>
      </w:r>
    </w:p>
    <w:p w:rsidR="00A75C81" w:rsidRDefault="00A75C81" w:rsidP="00A75C81">
      <w:pPr>
        <w:pStyle w:val="NormalWeb"/>
        <w:shd w:val="clear" w:color="auto" w:fill="FFFFFF"/>
        <w:bidi/>
        <w:spacing w:before="0" w:beforeAutospacing="0" w:after="0" w:afterAutospacing="0" w:line="360" w:lineRule="auto"/>
        <w:ind w:left="720"/>
        <w:jc w:val="both"/>
        <w:rPr>
          <w:rFonts w:ascii="David" w:hAnsi="David" w:cs="David"/>
          <w:color w:val="000000" w:themeColor="text1"/>
        </w:rPr>
      </w:pPr>
    </w:p>
    <w:p w:rsidR="00A75C81" w:rsidRDefault="00A75C81" w:rsidP="00A75C81">
      <w:pPr>
        <w:pStyle w:val="NormalWeb"/>
        <w:numPr>
          <w:ilvl w:val="0"/>
          <w:numId w:val="1"/>
        </w:numPr>
        <w:shd w:val="clear" w:color="auto" w:fill="FFFFFF"/>
        <w:bidi/>
        <w:spacing w:before="0" w:beforeAutospacing="0" w:after="0" w:afterAutospacing="0" w:line="360" w:lineRule="auto"/>
        <w:ind w:left="927"/>
        <w:jc w:val="both"/>
        <w:rPr>
          <w:rFonts w:ascii="David" w:hAnsi="David" w:cs="David"/>
          <w:color w:val="000000" w:themeColor="text1"/>
        </w:rPr>
      </w:pPr>
      <w:r>
        <w:rPr>
          <w:rFonts w:ascii="David" w:hAnsi="David" w:cs="David"/>
          <w:color w:val="000000" w:themeColor="text1"/>
          <w:rtl/>
        </w:rPr>
        <w:t xml:space="preserve">דברים אלו נקבעו גם בעמ"ש 1501/93 </w:t>
      </w:r>
      <w:r>
        <w:rPr>
          <w:rFonts w:ascii="David" w:hAnsi="David" w:cs="David"/>
          <w:b/>
          <w:bCs/>
          <w:color w:val="000000" w:themeColor="text1"/>
          <w:rtl/>
        </w:rPr>
        <w:t>פלד נ' מנהל מס שבח, נתניה</w:t>
      </w:r>
      <w:r>
        <w:rPr>
          <w:rFonts w:ascii="David" w:hAnsi="David" w:cs="David"/>
          <w:color w:val="000000" w:themeColor="text1"/>
          <w:rtl/>
        </w:rPr>
        <w:t>, מיסים ח/2 (אפריל 1994) בפסקאות 11-12:</w:t>
      </w:r>
    </w:p>
    <w:p w:rsidR="00C20DDF" w:rsidRDefault="00C20DDF" w:rsidP="00C20DDF">
      <w:pPr>
        <w:pStyle w:val="NormalWeb"/>
        <w:shd w:val="clear" w:color="auto" w:fill="FFFFFF"/>
        <w:bidi/>
        <w:spacing w:before="0" w:beforeAutospacing="0" w:after="0" w:afterAutospacing="0" w:line="360" w:lineRule="auto"/>
        <w:ind w:left="927"/>
        <w:jc w:val="both"/>
        <w:rPr>
          <w:rFonts w:ascii="David" w:hAnsi="David" w:cs="David"/>
          <w:color w:val="000000" w:themeColor="text1"/>
        </w:rPr>
      </w:pPr>
    </w:p>
    <w:p w:rsidR="00A75C81" w:rsidRDefault="00A75C81" w:rsidP="00A75C81">
      <w:pPr>
        <w:pStyle w:val="NormalWeb"/>
        <w:shd w:val="clear" w:color="auto" w:fill="FFFFFF"/>
        <w:bidi/>
        <w:spacing w:before="0" w:beforeAutospacing="0" w:after="0" w:afterAutospacing="0" w:line="360" w:lineRule="auto"/>
        <w:ind w:left="1417" w:right="1417"/>
        <w:jc w:val="both"/>
        <w:rPr>
          <w:rFonts w:ascii="David" w:hAnsi="David" w:cs="David"/>
          <w:b/>
          <w:bCs/>
          <w:color w:val="000000" w:themeColor="text1"/>
        </w:rPr>
      </w:pPr>
      <w:r>
        <w:rPr>
          <w:rFonts w:ascii="David" w:hAnsi="David" w:cs="David"/>
          <w:b/>
          <w:bCs/>
          <w:color w:val="000000" w:themeColor="text1"/>
          <w:rtl/>
        </w:rPr>
        <w:t>"ריבוי חדרי שינה, חדרי השירותים והמקלחות המשותפים- הנהוגים באכסניות, חדר האוכל הגדול והמשותף, השימוש המשרדי שנעשה בחלק מחדרי הקומה העליונה [...] כל אלה מלמדים כי אין המדובר במבנה המיועד למגוריה של משפחה [...] אין די בעובדה שמשפחה יכולה לגור בבית, וכדי שיהא הבית בגדר דירה המשמשת למגורים 'לפי טיבה', צריך הוא להיות מיועד לשימוש פרטי ולא לשימוש עסקי או מוסדי" (הדגשות במקור).</w:t>
      </w:r>
    </w:p>
    <w:p w:rsidR="00A75C81" w:rsidRDefault="00A75C81" w:rsidP="00A75C81">
      <w:pPr>
        <w:pStyle w:val="NormalWeb"/>
        <w:shd w:val="clear" w:color="auto" w:fill="FFFFFF"/>
        <w:bidi/>
        <w:spacing w:before="0" w:beforeAutospacing="0" w:after="0" w:afterAutospacing="0" w:line="360" w:lineRule="auto"/>
        <w:ind w:left="720"/>
        <w:jc w:val="both"/>
        <w:rPr>
          <w:rFonts w:ascii="David" w:hAnsi="David" w:cs="David"/>
          <w:color w:val="000000" w:themeColor="text1"/>
        </w:rPr>
      </w:pPr>
    </w:p>
    <w:p w:rsidR="00A75C81" w:rsidRDefault="00A75C81" w:rsidP="00A75C81">
      <w:pPr>
        <w:pStyle w:val="NormalWeb"/>
        <w:numPr>
          <w:ilvl w:val="0"/>
          <w:numId w:val="1"/>
        </w:numPr>
        <w:shd w:val="clear" w:color="auto" w:fill="FFFFFF"/>
        <w:bidi/>
        <w:spacing w:before="0" w:beforeAutospacing="0" w:after="0" w:afterAutospacing="0" w:line="360" w:lineRule="auto"/>
        <w:ind w:left="927"/>
        <w:jc w:val="both"/>
        <w:rPr>
          <w:rFonts w:ascii="David" w:hAnsi="David" w:cs="David"/>
          <w:color w:val="000000" w:themeColor="text1"/>
        </w:rPr>
      </w:pPr>
      <w:r>
        <w:rPr>
          <w:rFonts w:ascii="David" w:hAnsi="David" w:cs="David"/>
          <w:color w:val="000000" w:themeColor="text1"/>
          <w:rtl/>
        </w:rPr>
        <w:t>בהתאם לדברים אלו, העיד מר הס על תיאור החלוקה הפנימית בבית כך:</w:t>
      </w:r>
    </w:p>
    <w:p w:rsidR="00C20DDF" w:rsidRDefault="00C20DDF" w:rsidP="00C20DDF">
      <w:pPr>
        <w:pStyle w:val="NormalWeb"/>
        <w:shd w:val="clear" w:color="auto" w:fill="FFFFFF"/>
        <w:bidi/>
        <w:spacing w:before="0" w:beforeAutospacing="0" w:after="0" w:afterAutospacing="0" w:line="360" w:lineRule="auto"/>
        <w:ind w:left="927"/>
        <w:jc w:val="both"/>
        <w:rPr>
          <w:rFonts w:ascii="David" w:hAnsi="David" w:cs="David"/>
          <w:color w:val="000000" w:themeColor="text1"/>
        </w:rPr>
      </w:pPr>
    </w:p>
    <w:p w:rsidR="00A75C81" w:rsidRDefault="00A75C81" w:rsidP="00A75C81">
      <w:pPr>
        <w:pStyle w:val="NormalWeb"/>
        <w:shd w:val="clear" w:color="auto" w:fill="FFFFFF"/>
        <w:bidi/>
        <w:spacing w:before="0" w:beforeAutospacing="0" w:after="0" w:afterAutospacing="0" w:line="360" w:lineRule="auto"/>
        <w:ind w:left="1417" w:right="1417"/>
        <w:jc w:val="both"/>
        <w:rPr>
          <w:rFonts w:ascii="David" w:hAnsi="David" w:cs="David"/>
          <w:b/>
          <w:bCs/>
          <w:color w:val="000000" w:themeColor="text1"/>
        </w:rPr>
      </w:pPr>
      <w:r>
        <w:rPr>
          <w:rFonts w:ascii="David" w:hAnsi="David" w:cs="David"/>
          <w:b/>
          <w:bCs/>
          <w:color w:val="000000" w:themeColor="text1"/>
          <w:rtl/>
        </w:rPr>
        <w:t>"חלק מחדרי השינה אנחנו משתמשים בהם לישיבות, לאחסון והוספנו 4-5 חדרי שינה- חדר חדרי ישיבות, חדר לאונצ'ים, חדרי קריאה, היו לנו חדרים מאד גדולים והפנו אותם לקטנים יותר" (עמוד 29 לפרוטוקול, שורות 4-11).</w:t>
      </w:r>
    </w:p>
    <w:p w:rsidR="00A75C81" w:rsidRDefault="00A75C81" w:rsidP="00A75C81">
      <w:pPr>
        <w:pStyle w:val="NormalWeb"/>
        <w:shd w:val="clear" w:color="auto" w:fill="FFFFFF"/>
        <w:bidi/>
        <w:spacing w:before="0" w:beforeAutospacing="0" w:after="0" w:afterAutospacing="0" w:line="360" w:lineRule="auto"/>
        <w:ind w:left="1417" w:right="1417"/>
        <w:jc w:val="both"/>
        <w:rPr>
          <w:rFonts w:ascii="David" w:hAnsi="David" w:cs="David"/>
          <w:color w:val="000000" w:themeColor="text1"/>
        </w:rPr>
      </w:pPr>
    </w:p>
    <w:p w:rsidR="00A75C81" w:rsidRDefault="00D02335" w:rsidP="00A75C81">
      <w:pPr>
        <w:pStyle w:val="NormalWeb"/>
        <w:numPr>
          <w:ilvl w:val="0"/>
          <w:numId w:val="1"/>
        </w:numPr>
        <w:shd w:val="clear" w:color="auto" w:fill="FFFFFF"/>
        <w:bidi/>
        <w:spacing w:before="0" w:beforeAutospacing="0" w:after="0" w:afterAutospacing="0" w:line="360" w:lineRule="auto"/>
        <w:ind w:left="927"/>
        <w:jc w:val="both"/>
        <w:rPr>
          <w:rFonts w:ascii="David" w:hAnsi="David" w:cs="David"/>
          <w:color w:val="000000" w:themeColor="text1"/>
          <w:rtl/>
        </w:rPr>
      </w:pPr>
      <w:r>
        <w:rPr>
          <w:rFonts w:ascii="David" w:hAnsi="David" w:cs="David"/>
          <w:color w:val="000000" w:themeColor="text1"/>
          <w:rtl/>
        </w:rPr>
        <w:lastRenderedPageBreak/>
        <w:t>משאר העדויות שנמסרו</w:t>
      </w:r>
      <w:r w:rsidR="00A75C81">
        <w:rPr>
          <w:rFonts w:ascii="David" w:hAnsi="David" w:cs="David"/>
          <w:color w:val="000000" w:themeColor="text1"/>
          <w:rtl/>
        </w:rPr>
        <w:t xml:space="preserve"> קשה לעמוד בדיוק על מספר החדרים שבנה עורר 1 ואלו שבנתה העמותה השוכרת. אולם, קל לקבוע כי במועד המכירה, היו בבית חדרי שינה ושירותים רבים, חדרי משרדים, ומטבח מוסדי, באופן שלא עולה בקנה אחד עם אפיון דירת מגורים.</w:t>
      </w:r>
    </w:p>
    <w:p w:rsidR="00A75C81" w:rsidRDefault="00A75C81" w:rsidP="00A75C81">
      <w:pPr>
        <w:pStyle w:val="NormalWeb"/>
        <w:shd w:val="clear" w:color="auto" w:fill="FFFFFF"/>
        <w:bidi/>
        <w:spacing w:before="0" w:beforeAutospacing="0" w:after="0" w:afterAutospacing="0" w:line="360" w:lineRule="auto"/>
        <w:ind w:left="720"/>
        <w:jc w:val="both"/>
        <w:rPr>
          <w:rFonts w:ascii="David" w:hAnsi="David" w:cs="David"/>
          <w:color w:val="000000" w:themeColor="text1"/>
          <w:rtl/>
        </w:rPr>
      </w:pPr>
    </w:p>
    <w:p w:rsidR="00A75C81" w:rsidRDefault="00A75C81" w:rsidP="00A75C81">
      <w:pPr>
        <w:pStyle w:val="NormalWeb"/>
        <w:numPr>
          <w:ilvl w:val="0"/>
          <w:numId w:val="1"/>
        </w:numPr>
        <w:shd w:val="clear" w:color="auto" w:fill="FFFFFF"/>
        <w:bidi/>
        <w:spacing w:before="0" w:beforeAutospacing="0" w:after="0" w:afterAutospacing="0" w:line="360" w:lineRule="auto"/>
        <w:ind w:left="927"/>
        <w:jc w:val="both"/>
        <w:rPr>
          <w:rFonts w:ascii="David" w:hAnsi="David" w:cs="David"/>
          <w:color w:val="000000" w:themeColor="text1"/>
        </w:rPr>
      </w:pPr>
      <w:r>
        <w:rPr>
          <w:rFonts w:ascii="David" w:hAnsi="David" w:cs="David"/>
          <w:rtl/>
        </w:rPr>
        <w:t>העוררים לא הצליחו להרים את הנטל הרובץ עליהם להוכיח כי אופיו של המבנה הוא כשל "דירת מגורים" כהגדרתה בחוק. לפיכך, הגעתי למסקנה כי בנסיבות העניין ונכון למועד המכירה - 18.10.17, אין מקום להכיר בבית, או בחלקו, כ"דירת מגורים" על פי המבחן האובייקטיבי.</w:t>
      </w:r>
    </w:p>
    <w:p w:rsidR="00A75C81" w:rsidRDefault="00A75C81" w:rsidP="00A75C81">
      <w:pPr>
        <w:pStyle w:val="NormalWeb"/>
        <w:shd w:val="clear" w:color="auto" w:fill="FFFFFF"/>
        <w:bidi/>
        <w:spacing w:before="0" w:beforeAutospacing="0" w:after="0" w:afterAutospacing="0" w:line="360" w:lineRule="auto"/>
        <w:jc w:val="both"/>
        <w:rPr>
          <w:rFonts w:ascii="David" w:hAnsi="David" w:cs="David"/>
          <w:color w:val="000000" w:themeColor="text1"/>
        </w:rPr>
      </w:pPr>
    </w:p>
    <w:p w:rsidR="00A75C81" w:rsidRDefault="00A75C81" w:rsidP="00A75C81">
      <w:pPr>
        <w:pStyle w:val="NormalWeb"/>
        <w:numPr>
          <w:ilvl w:val="0"/>
          <w:numId w:val="1"/>
        </w:numPr>
        <w:shd w:val="clear" w:color="auto" w:fill="FFFFFF"/>
        <w:bidi/>
        <w:spacing w:before="0" w:beforeAutospacing="0" w:after="0" w:afterAutospacing="0" w:line="360" w:lineRule="auto"/>
        <w:ind w:left="927"/>
        <w:jc w:val="both"/>
        <w:rPr>
          <w:rFonts w:ascii="David" w:hAnsi="David" w:cs="David"/>
          <w:color w:val="000000" w:themeColor="text1"/>
        </w:rPr>
      </w:pPr>
      <w:r>
        <w:rPr>
          <w:rFonts w:ascii="David" w:hAnsi="David" w:cs="David"/>
          <w:color w:val="000000" w:themeColor="text1"/>
          <w:rtl/>
        </w:rPr>
        <w:t xml:space="preserve">הטבת המס לדירת מגורים לפי החוק נבחנת לפי קיומם של שני תנאים מצטברים. על מנת לעמוד בתנאי ההקלה על הדירה לעמוד בהגדרת "דירת מגורים", ובנוסף לכך, בהגדרת "דירת מגורים מזכה". הנה כי קיומו של התנאי הראשון, אינו פוטר מתחולתו של התנאי השני. בהלימה, בהינתן אי-קיומו של תנאי "דירת מגורים", אין המבנה יכול להיחשב כ"דירת מגורים מזכה" (ראו לענין זה, פסקה 26 לעניין </w:t>
      </w:r>
      <w:r>
        <w:rPr>
          <w:rFonts w:ascii="David" w:hAnsi="David" w:cs="David"/>
          <w:b/>
          <w:bCs/>
          <w:color w:val="000000" w:themeColor="text1"/>
          <w:rtl/>
        </w:rPr>
        <w:t>חכים</w:t>
      </w:r>
      <w:r>
        <w:rPr>
          <w:rFonts w:ascii="David" w:hAnsi="David" w:cs="David"/>
          <w:color w:val="000000" w:themeColor="text1"/>
          <w:rtl/>
        </w:rPr>
        <w:t>). בענייננו, בכל זאת אבקש לעמוד בקצרה על התנאי המובא בסעיף 49 לחוק, ולבחון האם ניתן לראות בדירה כמהווה "דירת מגורים מזכה".</w:t>
      </w:r>
    </w:p>
    <w:p w:rsidR="00A75C81" w:rsidRPr="00741E38" w:rsidRDefault="00A75C81" w:rsidP="00A75C81">
      <w:pPr>
        <w:pStyle w:val="ad"/>
        <w:shd w:val="clear" w:color="auto" w:fill="FFFFFF"/>
        <w:spacing w:before="100" w:beforeAutospacing="1" w:after="100" w:afterAutospacing="1" w:line="360" w:lineRule="auto"/>
        <w:ind w:left="360"/>
        <w:jc w:val="both"/>
        <w:rPr>
          <w:rFonts w:ascii="David" w:hAnsi="David"/>
          <w:color w:val="000000" w:themeColor="text1"/>
          <w:u w:val="single"/>
          <w:rtl/>
        </w:rPr>
      </w:pPr>
      <w:r w:rsidRPr="00741E38">
        <w:rPr>
          <w:rFonts w:ascii="David" w:hAnsi="David"/>
          <w:noProof w:val="0"/>
          <w:color w:val="000000" w:themeColor="text1"/>
          <w:u w:val="single"/>
          <w:rtl/>
        </w:rPr>
        <w:t xml:space="preserve">האם מדובר </w:t>
      </w:r>
      <w:r w:rsidRPr="00741E38">
        <w:rPr>
          <w:rFonts w:ascii="David" w:hAnsi="David"/>
          <w:color w:val="000000" w:themeColor="text1"/>
          <w:u w:val="single"/>
          <w:rtl/>
        </w:rPr>
        <w:t>ב"דירת מגורים מזכה"</w:t>
      </w:r>
    </w:p>
    <w:p w:rsidR="00741E38" w:rsidRDefault="00A75C81" w:rsidP="00A75C81">
      <w:pPr>
        <w:pStyle w:val="ad"/>
        <w:numPr>
          <w:ilvl w:val="0"/>
          <w:numId w:val="1"/>
        </w:numPr>
        <w:shd w:val="clear" w:color="auto" w:fill="FFFFFF"/>
        <w:spacing w:before="100" w:beforeAutospacing="1" w:after="100" w:afterAutospacing="1" w:line="360" w:lineRule="auto"/>
        <w:ind w:left="927"/>
        <w:jc w:val="both"/>
        <w:rPr>
          <w:rFonts w:ascii="David" w:hAnsi="David"/>
          <w:color w:val="000000" w:themeColor="text1"/>
        </w:rPr>
      </w:pPr>
      <w:r>
        <w:rPr>
          <w:rFonts w:ascii="David" w:hAnsi="David"/>
          <w:color w:val="000000" w:themeColor="text1"/>
          <w:rtl/>
        </w:rPr>
        <w:t>טענת העוררים, כפי שעולה הן מהערר והן מפנייתם לעירייה בדבר ארנונה,  היא כי המבנה משמש לשימוש דת, באופן שלטענתם הופך אותו לדירת מגורים מזכה:</w:t>
      </w:r>
    </w:p>
    <w:p w:rsidR="00A75C81" w:rsidRDefault="00A75C81" w:rsidP="00741E38">
      <w:pPr>
        <w:pStyle w:val="ad"/>
        <w:shd w:val="clear" w:color="auto" w:fill="FFFFFF"/>
        <w:spacing w:before="100" w:beforeAutospacing="1" w:after="100" w:afterAutospacing="1" w:line="360" w:lineRule="auto"/>
        <w:ind w:left="927"/>
        <w:jc w:val="both"/>
        <w:rPr>
          <w:rFonts w:ascii="David" w:hAnsi="David"/>
          <w:color w:val="000000" w:themeColor="text1"/>
          <w:rtl/>
        </w:rPr>
      </w:pPr>
      <w:r>
        <w:rPr>
          <w:rFonts w:ascii="David" w:hAnsi="David"/>
          <w:color w:val="000000" w:themeColor="text1"/>
          <w:rtl/>
        </w:rPr>
        <w:t xml:space="preserve"> </w:t>
      </w:r>
    </w:p>
    <w:p w:rsidR="00A75C81" w:rsidRDefault="00A75C81" w:rsidP="00A75C81">
      <w:pPr>
        <w:pStyle w:val="ad"/>
        <w:shd w:val="clear" w:color="auto" w:fill="FFFFFF"/>
        <w:spacing w:before="100" w:beforeAutospacing="1" w:after="100" w:afterAutospacing="1" w:line="360" w:lineRule="auto"/>
        <w:ind w:left="1417" w:right="1417"/>
        <w:jc w:val="both"/>
        <w:rPr>
          <w:rFonts w:ascii="David" w:hAnsi="David"/>
          <w:b/>
          <w:bCs/>
          <w:color w:val="000000" w:themeColor="text1"/>
          <w:rtl/>
        </w:rPr>
      </w:pPr>
      <w:r>
        <w:rPr>
          <w:rFonts w:ascii="David" w:hAnsi="David"/>
          <w:b/>
          <w:bCs/>
          <w:color w:val="000000" w:themeColor="text1"/>
          <w:rtl/>
        </w:rPr>
        <w:t>"הבית משמש למגורי מתנדבים אשר מגיעים לכתחילה למטרה אחת והיא תפילה</w:t>
      </w:r>
      <w:r>
        <w:rPr>
          <w:rFonts w:ascii="David" w:hAnsi="David"/>
          <w:b/>
          <w:bCs/>
          <w:rtl/>
        </w:rPr>
        <w:t xml:space="preserve"> עבור שלום ישראל ואומות העולם במשך שעות היממה, מטרה אשר מהווה פעילות דת ומנויה כמטרה בתקנון הקונה כמלכ"ר. הקומה העליונה בבית בנויה כאולם עגול, עם כסאות סביב למתפללים, כלי נגינה, שלטים ופוסטרים עם פסוקי תנ"ך וכן מנורה (כדגם מכלי המקדש)" (פסקה 4.49 לכתב הערר).</w:t>
      </w:r>
    </w:p>
    <w:p w:rsidR="00A75C81" w:rsidRDefault="00A75C81" w:rsidP="00A75C81">
      <w:pPr>
        <w:pStyle w:val="ad"/>
        <w:shd w:val="clear" w:color="auto" w:fill="FFFFFF"/>
        <w:spacing w:before="100" w:beforeAutospacing="1" w:after="100" w:afterAutospacing="1" w:line="360" w:lineRule="auto"/>
        <w:ind w:left="1417" w:right="1417"/>
        <w:jc w:val="both"/>
        <w:rPr>
          <w:rFonts w:ascii="David" w:hAnsi="David"/>
        </w:rPr>
      </w:pPr>
    </w:p>
    <w:p w:rsidR="00A75C81" w:rsidRDefault="00A75C81" w:rsidP="00A75C81">
      <w:pPr>
        <w:pStyle w:val="ad"/>
        <w:numPr>
          <w:ilvl w:val="0"/>
          <w:numId w:val="1"/>
        </w:numPr>
        <w:shd w:val="clear" w:color="auto" w:fill="FFFFFF"/>
        <w:spacing w:before="100" w:beforeAutospacing="1" w:after="100" w:afterAutospacing="1" w:line="360" w:lineRule="auto"/>
        <w:ind w:left="927"/>
        <w:jc w:val="both"/>
        <w:rPr>
          <w:rFonts w:ascii="Arial" w:hAnsi="Arial"/>
          <w:noProof w:val="0"/>
          <w:rtl/>
        </w:rPr>
      </w:pPr>
      <w:r>
        <w:rPr>
          <w:rFonts w:ascii="Arial" w:hAnsi="Arial"/>
          <w:noProof w:val="0"/>
          <w:rtl/>
        </w:rPr>
        <w:t>המשיב טען כי השימוש לצרכי דת חייב להתקיים בכל הדירה, זאת כפועל יוצא מקביעת שר האוצר (ראו לעיל), ומשכך אין לראות בפעילות הדתית המתקיימת בבית כשימוש למגורים. לחילופין, טען המשיב בסיכומיו כי הדירה תחשב כדירה מזכה אם לכל הפחות 50% משטחה ישמש לפעילות דת, כך לטענת</w:t>
      </w:r>
      <w:r w:rsidR="00741E38">
        <w:rPr>
          <w:rFonts w:ascii="Arial" w:hAnsi="Arial" w:hint="cs"/>
          <w:noProof w:val="0"/>
          <w:rtl/>
        </w:rPr>
        <w:t>ו</w:t>
      </w:r>
      <w:r>
        <w:rPr>
          <w:rFonts w:ascii="Arial" w:hAnsi="Arial"/>
          <w:noProof w:val="0"/>
          <w:rtl/>
        </w:rPr>
        <w:t xml:space="preserve"> עולה מהוראות הפרשנות לסעיף 49 לחוק.</w:t>
      </w:r>
    </w:p>
    <w:p w:rsidR="00A75C81" w:rsidRDefault="00A75C81" w:rsidP="00A75C81">
      <w:pPr>
        <w:pStyle w:val="ad"/>
        <w:shd w:val="clear" w:color="auto" w:fill="FFFFFF"/>
        <w:spacing w:before="100" w:beforeAutospacing="1" w:after="100" w:afterAutospacing="1" w:line="360" w:lineRule="auto"/>
        <w:jc w:val="both"/>
        <w:rPr>
          <w:rFonts w:ascii="Arial" w:hAnsi="Arial"/>
          <w:noProof w:val="0"/>
          <w:rtl/>
        </w:rPr>
      </w:pPr>
    </w:p>
    <w:p w:rsidR="00A75C81" w:rsidRPr="00F20468" w:rsidRDefault="00A75C81" w:rsidP="00F20468">
      <w:pPr>
        <w:pStyle w:val="ad"/>
        <w:numPr>
          <w:ilvl w:val="0"/>
          <w:numId w:val="1"/>
        </w:numPr>
        <w:spacing w:line="360" w:lineRule="auto"/>
        <w:ind w:left="927"/>
        <w:jc w:val="both"/>
        <w:rPr>
          <w:rFonts w:ascii="David" w:hAnsi="David"/>
          <w:noProof w:val="0"/>
        </w:rPr>
      </w:pPr>
      <w:r>
        <w:rPr>
          <w:rFonts w:ascii="Arial" w:hAnsi="Arial"/>
          <w:noProof w:val="0"/>
          <w:rtl/>
        </w:rPr>
        <w:t xml:space="preserve">טענה זאת של המשיב מעוררת קושי. נכון יותר בעיני יהיה לראות בנכס כנכס מעורב. הקומה העליונה משמשת לפעילות דת, זאת בנפרד מהקומה התחתונה. </w:t>
      </w:r>
      <w:r>
        <w:rPr>
          <w:rFonts w:ascii="David" w:hAnsi="David"/>
          <w:noProof w:val="0"/>
          <w:rtl/>
        </w:rPr>
        <w:t xml:space="preserve">בקומה העליונה </w:t>
      </w:r>
      <w:r w:rsidR="001C5BF5">
        <w:rPr>
          <w:rFonts w:ascii="David" w:hAnsi="David"/>
          <w:noProof w:val="0"/>
          <w:rtl/>
        </w:rPr>
        <w:lastRenderedPageBreak/>
        <w:t>ישנו אולם תפילה גדול</w:t>
      </w:r>
      <w:r w:rsidR="001C5BF5">
        <w:rPr>
          <w:rFonts w:ascii="David" w:hAnsi="David" w:hint="cs"/>
          <w:noProof w:val="0"/>
          <w:rtl/>
        </w:rPr>
        <w:t>,</w:t>
      </w:r>
      <w:r>
        <w:rPr>
          <w:rFonts w:ascii="David" w:hAnsi="David"/>
          <w:noProof w:val="0"/>
          <w:rtl/>
        </w:rPr>
        <w:t xml:space="preserve"> המיועד לתפילה דתית ובו נמצאים המתנדבים מידי יום במטרה אשר מהווה פעילות דת. כאמור, אין חולק כי מטרתו העיקרית של הקונה היא תפילה עבור שלום ישראל ואומות העולם במשך שעות היממה, ואולם זהו האמצעי להגשמת מטרה זאת.</w:t>
      </w:r>
      <w:r>
        <w:rPr>
          <w:rFonts w:ascii="Arial" w:hAnsi="Arial"/>
          <w:noProof w:val="0"/>
          <w:rtl/>
        </w:rPr>
        <w:t xml:space="preserve"> גם במקרים של שימוש חלקי לצורך דת, יכולה הדירה להיחשב כדירת מגורים מזכה, לגבי אותו חלק בנכס המשמש לתכלית הדתית</w:t>
      </w:r>
    </w:p>
    <w:p w:rsidR="00A75C81" w:rsidRDefault="00A75C81" w:rsidP="00A75C81">
      <w:pPr>
        <w:pStyle w:val="ad"/>
        <w:spacing w:line="360" w:lineRule="auto"/>
        <w:ind w:left="643"/>
        <w:jc w:val="both"/>
        <w:rPr>
          <w:rFonts w:ascii="David" w:hAnsi="David"/>
          <w:noProof w:val="0"/>
          <w:rtl/>
        </w:rPr>
      </w:pPr>
    </w:p>
    <w:p w:rsidR="00A75C81" w:rsidRDefault="00A75C81" w:rsidP="00F20468">
      <w:pPr>
        <w:pStyle w:val="ad"/>
        <w:numPr>
          <w:ilvl w:val="0"/>
          <w:numId w:val="1"/>
        </w:numPr>
        <w:spacing w:line="360" w:lineRule="auto"/>
        <w:ind w:left="927"/>
        <w:jc w:val="both"/>
        <w:rPr>
          <w:rFonts w:ascii="David" w:hAnsi="David"/>
          <w:noProof w:val="0"/>
        </w:rPr>
      </w:pPr>
      <w:r>
        <w:rPr>
          <w:rFonts w:ascii="David" w:hAnsi="David"/>
          <w:noProof w:val="0"/>
          <w:rtl/>
        </w:rPr>
        <w:t xml:space="preserve">אף </w:t>
      </w:r>
      <w:r w:rsidR="00F20468">
        <w:rPr>
          <w:rFonts w:ascii="David" w:hAnsi="David" w:hint="cs"/>
          <w:noProof w:val="0"/>
          <w:rtl/>
        </w:rPr>
        <w:t>ש</w:t>
      </w:r>
      <w:r>
        <w:rPr>
          <w:rFonts w:ascii="David" w:hAnsi="David"/>
          <w:noProof w:val="0"/>
          <w:rtl/>
        </w:rPr>
        <w:t xml:space="preserve">תיקן את השומה, </w:t>
      </w:r>
      <w:r w:rsidR="00F20468">
        <w:rPr>
          <w:rFonts w:ascii="David" w:hAnsi="David" w:hint="cs"/>
          <w:noProof w:val="0"/>
          <w:rtl/>
        </w:rPr>
        <w:t>המשיב</w:t>
      </w:r>
      <w:r>
        <w:rPr>
          <w:rFonts w:ascii="David" w:hAnsi="David"/>
          <w:noProof w:val="0"/>
          <w:rtl/>
        </w:rPr>
        <w:t xml:space="preserve"> עצמו בהחלטתו בהשגה מיום 6.9.20 קבע ברוח אותם הדברים כך:</w:t>
      </w:r>
    </w:p>
    <w:p w:rsidR="00741E38" w:rsidRDefault="00741E38" w:rsidP="00741E38">
      <w:pPr>
        <w:pStyle w:val="ad"/>
        <w:spacing w:line="360" w:lineRule="auto"/>
        <w:ind w:left="927"/>
        <w:jc w:val="both"/>
        <w:rPr>
          <w:rFonts w:ascii="David" w:hAnsi="David"/>
          <w:noProof w:val="0"/>
        </w:rPr>
      </w:pPr>
    </w:p>
    <w:p w:rsidR="00A75C81" w:rsidRDefault="00A75C81" w:rsidP="00A75C81">
      <w:pPr>
        <w:pStyle w:val="ad"/>
        <w:spacing w:line="360" w:lineRule="auto"/>
        <w:ind w:left="1417" w:right="1417"/>
        <w:jc w:val="both"/>
        <w:rPr>
          <w:rFonts w:ascii="David" w:hAnsi="David"/>
          <w:b/>
          <w:bCs/>
          <w:noProof w:val="0"/>
          <w:rtl/>
        </w:rPr>
      </w:pPr>
      <w:r>
        <w:rPr>
          <w:rFonts w:ascii="David" w:hAnsi="David"/>
          <w:b/>
          <w:bCs/>
          <w:noProof w:val="0"/>
          <w:rtl/>
        </w:rPr>
        <w:t>"פעילותו המבורכת של הארגון הקונה [...] ולאור הימצאותו של אולם לתפילות במפלס העליון של המבנה, תיקנתי את השומה במס שבח באופן המייחס מחצית מהתמורה החוזית ליעוד של בית תפילה, המזכה בחישוב מס כנ"ל ואת המחצית הנוספת בחישוב מס רגיל לפי יעוד של בניין, כאמור." (פסקאות 26-27).</w:t>
      </w:r>
    </w:p>
    <w:p w:rsidR="001C5BF5" w:rsidRDefault="001C5BF5" w:rsidP="00A75C81">
      <w:pPr>
        <w:pStyle w:val="ad"/>
        <w:spacing w:line="360" w:lineRule="auto"/>
        <w:ind w:left="1417" w:right="1417"/>
        <w:jc w:val="both"/>
        <w:rPr>
          <w:rFonts w:ascii="David" w:hAnsi="David"/>
          <w:b/>
          <w:bCs/>
          <w:noProof w:val="0"/>
          <w:rtl/>
        </w:rPr>
      </w:pPr>
    </w:p>
    <w:p w:rsidR="001C5BF5" w:rsidRPr="001C5BF5" w:rsidRDefault="001C5BF5" w:rsidP="001C5BF5">
      <w:pPr>
        <w:spacing w:line="360" w:lineRule="auto"/>
        <w:ind w:left="720" w:right="1417" w:firstLine="240"/>
        <w:jc w:val="both"/>
        <w:rPr>
          <w:rFonts w:ascii="David" w:hAnsi="David"/>
          <w:noProof w:val="0"/>
          <w:rtl/>
        </w:rPr>
      </w:pPr>
      <w:r w:rsidRPr="001C5BF5">
        <w:rPr>
          <w:rFonts w:ascii="David" w:hAnsi="David" w:hint="cs"/>
          <w:noProof w:val="0"/>
          <w:rtl/>
        </w:rPr>
        <w:t>העולה מן המקובץ הוא</w:t>
      </w:r>
      <w:r>
        <w:rPr>
          <w:rFonts w:ascii="David" w:hAnsi="David" w:hint="cs"/>
          <w:noProof w:val="0"/>
          <w:rtl/>
        </w:rPr>
        <w:t xml:space="preserve"> כי נכון קבע המשיב בהחלטה בהשגה, לפני תיקון השומה, באופן בו ראה להתייחס לקומה העליונה במבנה כאולם תפילה, להבדיל מיתר הבניין המאופיין כאכסניה לחברי הארגון, כאמור לעיל.</w:t>
      </w:r>
    </w:p>
    <w:p w:rsidR="00805A87" w:rsidRPr="00F20468" w:rsidRDefault="00A75C81" w:rsidP="00F20468">
      <w:pPr>
        <w:shd w:val="clear" w:color="auto" w:fill="FFFFFF"/>
        <w:spacing w:before="100" w:beforeAutospacing="1" w:after="100" w:afterAutospacing="1" w:line="360" w:lineRule="auto"/>
        <w:jc w:val="both"/>
        <w:rPr>
          <w:rFonts w:ascii="Arial" w:hAnsi="Arial"/>
          <w:noProof w:val="0"/>
        </w:rPr>
      </w:pPr>
      <w:r w:rsidRPr="00741E38">
        <w:rPr>
          <w:rFonts w:ascii="Arial" w:hAnsi="Arial"/>
          <w:b/>
          <w:bCs/>
          <w:noProof w:val="0"/>
          <w:u w:val="single"/>
          <w:rtl/>
        </w:rPr>
        <w:t>סמכות המשיב בהשגה</w:t>
      </w:r>
    </w:p>
    <w:p w:rsidR="00A75C81" w:rsidRDefault="00A75C81" w:rsidP="00A75C81">
      <w:pPr>
        <w:pStyle w:val="ad"/>
        <w:numPr>
          <w:ilvl w:val="0"/>
          <w:numId w:val="1"/>
        </w:numPr>
        <w:spacing w:line="360" w:lineRule="auto"/>
        <w:ind w:left="927"/>
        <w:jc w:val="both"/>
        <w:rPr>
          <w:rFonts w:ascii="Arial" w:hAnsi="Arial"/>
          <w:noProof w:val="0"/>
          <w:rtl/>
        </w:rPr>
      </w:pPr>
      <w:r>
        <w:rPr>
          <w:rFonts w:ascii="Arial" w:hAnsi="Arial"/>
          <w:noProof w:val="0"/>
          <w:rtl/>
        </w:rPr>
        <w:t xml:space="preserve">בפי העוררים טענה, לפיה חרג המשיב מסמכותו. נטען, כי המשיב לא היה מוסמך לשנות בשלב ההשגה את מה שנקבע בשלב השומה, מאחר ולא התגלו עובדות חדשות בשלב ההשגה. </w:t>
      </w:r>
    </w:p>
    <w:p w:rsidR="00A75C81" w:rsidRDefault="00A75C81" w:rsidP="00A75C81">
      <w:pPr>
        <w:spacing w:line="360" w:lineRule="auto"/>
        <w:ind w:left="720" w:hanging="720"/>
        <w:jc w:val="both"/>
        <w:rPr>
          <w:rFonts w:ascii="Arial" w:hAnsi="Arial"/>
          <w:noProof w:val="0"/>
          <w:rtl/>
        </w:rPr>
      </w:pPr>
    </w:p>
    <w:p w:rsidR="00A75C81" w:rsidRDefault="00A75C81" w:rsidP="00805A87">
      <w:pPr>
        <w:pStyle w:val="ad"/>
        <w:numPr>
          <w:ilvl w:val="0"/>
          <w:numId w:val="1"/>
        </w:numPr>
        <w:spacing w:line="360" w:lineRule="auto"/>
        <w:ind w:left="927"/>
        <w:jc w:val="both"/>
        <w:rPr>
          <w:rFonts w:ascii="Arial" w:hAnsi="Arial"/>
          <w:noProof w:val="0"/>
        </w:rPr>
      </w:pPr>
      <w:r>
        <w:rPr>
          <w:rFonts w:ascii="Arial" w:hAnsi="Arial"/>
          <w:noProof w:val="0"/>
          <w:rtl/>
        </w:rPr>
        <w:t>על פי ההלכה הפסוקה, המשיב רשאי לשנות את השומה בשלב ההשגה, מבלי לערוך הליך נפרד של תיקון שומה וזאת מטעמי נוחיות ויעילות. כך נקבע בהלכת גורפינקל (</w:t>
      </w:r>
      <w:r w:rsidR="00805A87">
        <w:rPr>
          <w:rFonts w:ascii="Arial" w:hAnsi="Arial" w:hint="cs"/>
          <w:noProof w:val="0"/>
          <w:rtl/>
        </w:rPr>
        <w:t xml:space="preserve">ע"א 583/90 </w:t>
      </w:r>
      <w:r>
        <w:rPr>
          <w:rFonts w:ascii="Arial" w:hAnsi="Arial"/>
          <w:b/>
          <w:bCs/>
          <w:noProof w:val="0"/>
          <w:rtl/>
        </w:rPr>
        <w:t>מנהל מס שבח מקרקעין תל-אביב נ' גורפינקל יעקב</w:t>
      </w:r>
      <w:r w:rsidR="002125C8">
        <w:rPr>
          <w:rFonts w:ascii="Arial" w:hAnsi="Arial" w:hint="cs"/>
          <w:noProof w:val="0"/>
          <w:rtl/>
        </w:rPr>
        <w:t xml:space="preserve"> (1994): </w:t>
      </w:r>
    </w:p>
    <w:p w:rsidR="00805A87" w:rsidRDefault="00805A87" w:rsidP="00805A87">
      <w:pPr>
        <w:pStyle w:val="ad"/>
        <w:spacing w:line="360" w:lineRule="auto"/>
        <w:ind w:left="927"/>
        <w:jc w:val="both"/>
        <w:rPr>
          <w:rFonts w:ascii="Arial" w:hAnsi="Arial"/>
          <w:noProof w:val="0"/>
          <w:rtl/>
        </w:rPr>
      </w:pPr>
    </w:p>
    <w:p w:rsidR="00A75C81" w:rsidRPr="00805A87" w:rsidRDefault="00A75C81" w:rsidP="00A75C81">
      <w:pPr>
        <w:spacing w:line="360" w:lineRule="auto"/>
        <w:ind w:left="2137" w:right="1417" w:hanging="720"/>
        <w:jc w:val="both"/>
        <w:rPr>
          <w:rFonts w:ascii="Arial" w:hAnsi="Arial"/>
          <w:b/>
          <w:bCs/>
          <w:noProof w:val="0"/>
          <w:rtl/>
        </w:rPr>
      </w:pPr>
      <w:r w:rsidRPr="00805A87">
        <w:rPr>
          <w:rFonts w:ascii="Arial" w:hAnsi="Arial"/>
          <w:noProof w:val="0"/>
          <w:rtl/>
        </w:rPr>
        <w:tab/>
      </w:r>
      <w:r w:rsidRPr="00805A87">
        <w:rPr>
          <w:rFonts w:ascii="Arial" w:hAnsi="Arial"/>
          <w:b/>
          <w:bCs/>
          <w:noProof w:val="0"/>
          <w:rtl/>
        </w:rPr>
        <w:t xml:space="preserve">"אין כל טעם של ממש, לא טכני ולא מהותי, אשר יצדיק סרבול מיותר וסחבת בהליכים. לא יהא זה לתועלת איש אם ייקבע כי המנהל איננו מוסמך להגדיל שומה, שנמצאה מוטעית, במסגרת החלטתו בהשגה לפי סעיף 87 לחוק, כאשר למחרת החלטתו בהשגה מוסמך הוא בעליל להגדיל את השומה במסגרת "תיקון שומה" לפי סעיף 85 לחוק".  </w:t>
      </w:r>
    </w:p>
    <w:p w:rsidR="00A75C81" w:rsidRDefault="00A75C81" w:rsidP="00A75C81">
      <w:pPr>
        <w:spacing w:line="360" w:lineRule="auto"/>
        <w:ind w:left="2137" w:right="1417" w:hanging="720"/>
        <w:jc w:val="both"/>
        <w:rPr>
          <w:rFonts w:ascii="Arial" w:hAnsi="Arial"/>
          <w:b/>
          <w:bCs/>
          <w:noProof w:val="0"/>
          <w:rtl/>
        </w:rPr>
      </w:pPr>
    </w:p>
    <w:p w:rsidR="00A75C81" w:rsidRDefault="00A75C81" w:rsidP="00F20468">
      <w:pPr>
        <w:pStyle w:val="ad"/>
        <w:numPr>
          <w:ilvl w:val="0"/>
          <w:numId w:val="1"/>
        </w:numPr>
        <w:spacing w:line="360" w:lineRule="auto"/>
        <w:ind w:left="927"/>
        <w:jc w:val="both"/>
        <w:rPr>
          <w:rFonts w:ascii="Arial" w:hAnsi="Arial"/>
          <w:noProof w:val="0"/>
        </w:rPr>
      </w:pPr>
      <w:r>
        <w:rPr>
          <w:rFonts w:ascii="Arial" w:hAnsi="Arial"/>
          <w:noProof w:val="0"/>
          <w:rtl/>
        </w:rPr>
        <w:t>במסגרת הליך ההשגה המשיב בוחן את הטענות של העוררים והוא מוס</w:t>
      </w:r>
      <w:r w:rsidR="002125C8">
        <w:rPr>
          <w:rFonts w:ascii="Arial" w:hAnsi="Arial"/>
          <w:noProof w:val="0"/>
          <w:rtl/>
        </w:rPr>
        <w:t xml:space="preserve">מך לקבל כל החלטה. כך נקבע </w:t>
      </w:r>
      <w:r w:rsidR="002125C8">
        <w:rPr>
          <w:rFonts w:ascii="Arial" w:hAnsi="Arial" w:hint="cs"/>
          <w:noProof w:val="0"/>
          <w:rtl/>
        </w:rPr>
        <w:t>ב</w:t>
      </w:r>
      <w:r w:rsidR="00F20468">
        <w:rPr>
          <w:rFonts w:ascii="Arial" w:hAnsi="Arial" w:hint="cs"/>
          <w:noProof w:val="0"/>
          <w:rtl/>
        </w:rPr>
        <w:t xml:space="preserve">ע"א 381/80 </w:t>
      </w:r>
      <w:r w:rsidR="00F20468" w:rsidRPr="00F20468">
        <w:rPr>
          <w:rFonts w:ascii="Arial" w:hAnsi="Arial" w:hint="cs"/>
          <w:b/>
          <w:bCs/>
          <w:noProof w:val="0"/>
          <w:rtl/>
        </w:rPr>
        <w:t>מנהל מס שבח מקרקעין תל-אביב נ' סטלה, שירותי מכוניות בע"מ</w:t>
      </w:r>
      <w:r w:rsidR="002125C8">
        <w:rPr>
          <w:rFonts w:ascii="Arial" w:hAnsi="Arial" w:hint="cs"/>
          <w:noProof w:val="0"/>
          <w:rtl/>
        </w:rPr>
        <w:t>, פ"ד</w:t>
      </w:r>
      <w:r w:rsidR="00F20468">
        <w:rPr>
          <w:rFonts w:ascii="Arial" w:hAnsi="Arial" w:hint="cs"/>
          <w:noProof w:val="0"/>
          <w:rtl/>
        </w:rPr>
        <w:t xml:space="preserve"> ל"ט</w:t>
      </w:r>
      <w:r w:rsidR="00805A87">
        <w:rPr>
          <w:rFonts w:ascii="Arial" w:hAnsi="Arial"/>
          <w:noProof w:val="0"/>
          <w:rtl/>
        </w:rPr>
        <w:t xml:space="preserve"> </w:t>
      </w:r>
      <w:r>
        <w:rPr>
          <w:rFonts w:ascii="Arial" w:hAnsi="Arial"/>
          <w:noProof w:val="0"/>
          <w:rtl/>
        </w:rPr>
        <w:t xml:space="preserve">(3), 413, 417: </w:t>
      </w:r>
    </w:p>
    <w:p w:rsidR="00805A87" w:rsidRDefault="00805A87" w:rsidP="00805A87">
      <w:pPr>
        <w:pStyle w:val="ad"/>
        <w:spacing w:line="360" w:lineRule="auto"/>
        <w:ind w:left="927"/>
        <w:jc w:val="both"/>
        <w:rPr>
          <w:rFonts w:ascii="Arial" w:hAnsi="Arial"/>
          <w:noProof w:val="0"/>
          <w:rtl/>
        </w:rPr>
      </w:pPr>
    </w:p>
    <w:p w:rsidR="00A75C81" w:rsidRDefault="00A75C81" w:rsidP="00A75C81">
      <w:pPr>
        <w:spacing w:line="360" w:lineRule="auto"/>
        <w:ind w:left="1440" w:right="567" w:hanging="720"/>
        <w:jc w:val="both"/>
        <w:rPr>
          <w:rFonts w:ascii="Arial" w:hAnsi="Arial"/>
          <w:b/>
          <w:bCs/>
          <w:noProof w:val="0"/>
          <w:rtl/>
        </w:rPr>
      </w:pPr>
      <w:r>
        <w:rPr>
          <w:rFonts w:ascii="Arial" w:hAnsi="Arial"/>
          <w:noProof w:val="0"/>
          <w:rtl/>
        </w:rPr>
        <w:tab/>
      </w:r>
      <w:r>
        <w:rPr>
          <w:rFonts w:ascii="Arial" w:hAnsi="Arial"/>
          <w:b/>
          <w:bCs/>
          <w:noProof w:val="0"/>
          <w:rtl/>
        </w:rPr>
        <w:t xml:space="preserve">"לדעתי, דין הערעור להתקבל. כאשר מדובר בשומה זמנית – כפי שהוא המקרה דנן – מוסכם על הכול, שהמנהל רשאי, על-פי סעיף 78, לתקן את השומה מכל טעם שהוא תוך תקופה של שנה. סמכות זו היא, לדעתי, בלתי מסויגת, כך שמותר למנהל גם להגדיל את השומה הזמנית, קל וחומר (כפי שקרה כאן) להפחיתה. הסמכות הקבועה בסעיף זה עומדת לו למנהל אף בעת דיון והחלטה בהשגה, ואין כל סיבה למנוע ממנו מלהשתמש בה אף בעת הדיון וההחלטה בהשגה".  </w:t>
      </w:r>
    </w:p>
    <w:p w:rsidR="00A75C81" w:rsidRDefault="00A75C81" w:rsidP="00A75C81">
      <w:pPr>
        <w:spacing w:line="360" w:lineRule="auto"/>
        <w:ind w:left="720" w:hanging="720"/>
        <w:jc w:val="both"/>
        <w:rPr>
          <w:rFonts w:ascii="Arial" w:hAnsi="Arial"/>
          <w:b/>
          <w:bCs/>
          <w:noProof w:val="0"/>
          <w:rtl/>
        </w:rPr>
      </w:pPr>
    </w:p>
    <w:p w:rsidR="00A75C81" w:rsidRDefault="00A75C81" w:rsidP="00A75C81">
      <w:pPr>
        <w:pStyle w:val="ad"/>
        <w:numPr>
          <w:ilvl w:val="0"/>
          <w:numId w:val="1"/>
        </w:numPr>
        <w:spacing w:line="360" w:lineRule="auto"/>
        <w:ind w:left="927"/>
        <w:jc w:val="both"/>
        <w:rPr>
          <w:rFonts w:ascii="David" w:hAnsi="David"/>
          <w:noProof w:val="0"/>
          <w:rtl/>
        </w:rPr>
      </w:pPr>
      <w:r>
        <w:rPr>
          <w:rFonts w:ascii="David" w:hAnsi="David"/>
          <w:noProof w:val="0"/>
          <w:rtl/>
        </w:rPr>
        <w:t xml:space="preserve">טרם הוצאת השומה המתוקנת, הומצאו למשיב מסמכים בדבר דוחות עירייה משנת 2011 לעניין פטור מארנונה. כך הסתבר למשיב כי נקבעו חיובי ארנונה בהתבסס על החלטת ועדת ערר מיום 28.12.12 שחילקה את המבנה באופן הבא: "שטח של 426 מ"ר, </w:t>
      </w:r>
      <w:r w:rsidR="00F20468">
        <w:rPr>
          <w:rFonts w:ascii="David" w:hAnsi="David"/>
          <w:noProof w:val="0"/>
          <w:rtl/>
        </w:rPr>
        <w:t>משמש כאכסנ</w:t>
      </w:r>
      <w:r>
        <w:rPr>
          <w:rFonts w:ascii="David" w:hAnsi="David"/>
          <w:noProof w:val="0"/>
          <w:rtl/>
        </w:rPr>
        <w:t xml:space="preserve">יה לעולי רגל נוצריים, יתרת השטח משמש כמשרדים". עוד לכך, בהשגה שהוגשה לעירייה לצורך קבלת פטור מארנונה כמוסד דתי, תואר הנכס כ"מקום תפילה [...] או פונדק המשמש אך ורק לאכסון עולי רגל בחינם". לפיכך, בשומה המתוקנת קבע המשיב כי מדובר במבנה המאפשר אכסניה והסעדה לאנשים הבאים והולכים, השוהים בו לצורך שהייה קצרה ולא למגורים לתקופות ארוכות. </w:t>
      </w:r>
    </w:p>
    <w:p w:rsidR="00A75C81" w:rsidRDefault="00A75C81" w:rsidP="00A75C81">
      <w:pPr>
        <w:pStyle w:val="ad"/>
        <w:spacing w:line="360" w:lineRule="auto"/>
        <w:jc w:val="both"/>
        <w:rPr>
          <w:rFonts w:ascii="David" w:hAnsi="David"/>
          <w:noProof w:val="0"/>
          <w:rtl/>
        </w:rPr>
      </w:pPr>
    </w:p>
    <w:p w:rsidR="00A75C81" w:rsidRDefault="00A75C81" w:rsidP="00A75C81">
      <w:pPr>
        <w:pStyle w:val="ad"/>
        <w:numPr>
          <w:ilvl w:val="0"/>
          <w:numId w:val="1"/>
        </w:numPr>
        <w:spacing w:line="360" w:lineRule="auto"/>
        <w:ind w:left="927"/>
        <w:jc w:val="both"/>
        <w:rPr>
          <w:rFonts w:ascii="David" w:hAnsi="David"/>
          <w:noProof w:val="0"/>
        </w:rPr>
      </w:pPr>
      <w:r>
        <w:rPr>
          <w:rFonts w:ascii="David" w:hAnsi="David"/>
          <w:noProof w:val="0"/>
          <w:rtl/>
        </w:rPr>
        <w:t>בהחלטה עדכנית יותר של העירייה מיום 21.9.20, נכתב כך: "בביקור בשטח, השטח היחיד המשמש כבית תפילה, נמצא בקומה העליונה וכולל שטח מקורה של 35 מ"ר ומרפסת גג 194.2 מ"ר. שטח מחויב בנפרד ומקבל פטור כבית תפילה בשטח כולל של 74.28 מ"ר. יתרת המתחם, בשטח 426.84 מ"ר, משמשים אכסניה ומשרדים של העמותה. ניתנה הנחה מארנונה. חלקה זו נערכה בהתאם להחלטת ועדת ערר מיום 28.12.12". לפיכך, בשומה המתוקנת, קבע המשיב כי במסגרת הטיפול בשומה בשלב ההשגה נעשתה טעות משפטית בניתוח העובדות של סיווג הנכס באופן חלקי כדירת מגורים, וזאת ללא בחינת כלל ההיבטים השומתיים והמשפטיים הנגזרים מכך. בנוסף, קבע המשיב כי המסמכים החדשים שהתקבלו מהעירייה נעדרו בשלב ההחלטה בהשגה, ואלו משמעותיים לסיווג הנכס.</w:t>
      </w:r>
    </w:p>
    <w:p w:rsidR="00A75C81" w:rsidRDefault="00A75C81" w:rsidP="00A75C81">
      <w:pPr>
        <w:pStyle w:val="ad"/>
        <w:spacing w:line="360" w:lineRule="auto"/>
        <w:jc w:val="both"/>
        <w:rPr>
          <w:rFonts w:ascii="David" w:hAnsi="David"/>
          <w:noProof w:val="0"/>
        </w:rPr>
      </w:pPr>
    </w:p>
    <w:p w:rsidR="00A75C81" w:rsidRDefault="00055685" w:rsidP="00805A87">
      <w:pPr>
        <w:pStyle w:val="ad"/>
        <w:numPr>
          <w:ilvl w:val="0"/>
          <w:numId w:val="1"/>
        </w:numPr>
        <w:spacing w:line="360" w:lineRule="auto"/>
        <w:ind w:left="927"/>
        <w:jc w:val="both"/>
        <w:rPr>
          <w:rFonts w:ascii="Arial" w:hAnsi="Arial"/>
          <w:noProof w:val="0"/>
        </w:rPr>
      </w:pPr>
      <w:hyperlink w:history="1">
        <w:r w:rsidR="00A75C81">
          <w:rPr>
            <w:rFonts w:ascii="Arial" w:hAnsi="Arial"/>
            <w:noProof w:val="0"/>
            <w:rtl/>
          </w:rPr>
          <w:t xml:space="preserve">סעיף 85 </w:t>
        </w:r>
      </w:hyperlink>
      <w:r w:rsidR="00A75C81">
        <w:rPr>
          <w:rFonts w:ascii="Arial" w:hAnsi="Arial"/>
          <w:noProof w:val="0"/>
          <w:rtl/>
        </w:rPr>
        <w:t xml:space="preserve">לחוק מתיר לתקן שומה במידה וסבור המשיב כי נפלה טעות בשומה המקורית. לאור האמור, אני סבור כי אין לקבל את טענת העוררים, בדבר העדר סמכות לתיקון השומה המקורית. </w:t>
      </w:r>
    </w:p>
    <w:p w:rsidR="00A75C81" w:rsidRDefault="00A75C81" w:rsidP="00A75C81">
      <w:pPr>
        <w:spacing w:line="360" w:lineRule="auto"/>
        <w:jc w:val="both"/>
        <w:rPr>
          <w:rFonts w:ascii="David" w:hAnsi="David"/>
          <w:b/>
          <w:bCs/>
          <w:noProof w:val="0"/>
          <w:u w:val="single"/>
        </w:rPr>
      </w:pPr>
    </w:p>
    <w:p w:rsidR="00A75C81" w:rsidRPr="00F5363A" w:rsidRDefault="00A75C81" w:rsidP="00A75C81">
      <w:pPr>
        <w:spacing w:line="360" w:lineRule="auto"/>
        <w:ind w:left="720" w:hanging="720"/>
        <w:jc w:val="both"/>
        <w:rPr>
          <w:rFonts w:ascii="David" w:hAnsi="David"/>
          <w:noProof w:val="0"/>
          <w:u w:val="single"/>
          <w:rtl/>
        </w:rPr>
      </w:pPr>
      <w:r w:rsidRPr="00F5363A">
        <w:rPr>
          <w:rFonts w:ascii="David" w:hAnsi="David"/>
          <w:b/>
          <w:bCs/>
          <w:noProof w:val="0"/>
          <w:u w:val="single"/>
          <w:rtl/>
        </w:rPr>
        <w:t>סוף דבר</w:t>
      </w:r>
    </w:p>
    <w:p w:rsidR="00A75C81" w:rsidRDefault="00A75C81" w:rsidP="00805A87">
      <w:pPr>
        <w:pStyle w:val="ad"/>
        <w:numPr>
          <w:ilvl w:val="0"/>
          <w:numId w:val="1"/>
        </w:numPr>
        <w:spacing w:line="360" w:lineRule="auto"/>
        <w:ind w:left="927"/>
        <w:jc w:val="both"/>
        <w:rPr>
          <w:rFonts w:ascii="Arial" w:hAnsi="Arial"/>
          <w:noProof w:val="0"/>
          <w:rtl/>
        </w:rPr>
      </w:pPr>
      <w:r>
        <w:rPr>
          <w:rFonts w:ascii="Arial" w:hAnsi="Arial"/>
          <w:noProof w:val="0"/>
          <w:rtl/>
        </w:rPr>
        <w:t xml:space="preserve">לאור כל האמור לעיל, אציע לחברי הוועדה </w:t>
      </w:r>
      <w:r w:rsidRPr="002125C8">
        <w:rPr>
          <w:rFonts w:ascii="Arial" w:hAnsi="Arial"/>
          <w:noProof w:val="0"/>
          <w:rtl/>
        </w:rPr>
        <w:t>לדחות את הערר</w:t>
      </w:r>
      <w:r w:rsidR="00805A87">
        <w:rPr>
          <w:rFonts w:ascii="Arial" w:hAnsi="Arial" w:hint="cs"/>
          <w:noProof w:val="0"/>
          <w:rtl/>
        </w:rPr>
        <w:t xml:space="preserve"> באופן חלקי ולקבוע כי שומת מס השבח על הנכס </w:t>
      </w:r>
      <w:r>
        <w:rPr>
          <w:rFonts w:ascii="Arial" w:hAnsi="Arial"/>
          <w:noProof w:val="0"/>
          <w:rtl/>
        </w:rPr>
        <w:t>תהיה</w:t>
      </w:r>
      <w:r w:rsidR="00805A87">
        <w:rPr>
          <w:rFonts w:ascii="Arial" w:hAnsi="Arial" w:hint="cs"/>
          <w:noProof w:val="0"/>
          <w:rtl/>
        </w:rPr>
        <w:t xml:space="preserve"> כפי שקבע המשיב בשומה עובר לתיקונה, דהיינו, באופן ה</w:t>
      </w:r>
      <w:r w:rsidR="00F20468">
        <w:rPr>
          <w:rFonts w:ascii="Arial" w:hAnsi="Arial" w:hint="cs"/>
          <w:noProof w:val="0"/>
          <w:rtl/>
        </w:rPr>
        <w:t>מייחס מחצית מהתמורה החוזית ליעוד</w:t>
      </w:r>
      <w:r w:rsidR="00805A87">
        <w:rPr>
          <w:rFonts w:ascii="Arial" w:hAnsi="Arial" w:hint="cs"/>
          <w:noProof w:val="0"/>
          <w:rtl/>
        </w:rPr>
        <w:t xml:space="preserve"> של בית תפילה, המזכה בחישוב מס ליניארי ואת המחצית הנוספת בחישוב מס רגיל לפי יעוד של בניין. בכל הנוגע לשומת מס הרכישה, הערר יידחה, כך ששיעור המס יעמוד על 6% לפי "בניין".</w:t>
      </w:r>
    </w:p>
    <w:p w:rsidR="00A75C81" w:rsidRDefault="00A75C81" w:rsidP="002125C8">
      <w:pPr>
        <w:pStyle w:val="ad"/>
        <w:spacing w:line="360" w:lineRule="auto"/>
        <w:ind w:left="927"/>
        <w:jc w:val="both"/>
        <w:rPr>
          <w:rFonts w:ascii="Arial" w:hAnsi="Arial"/>
          <w:noProof w:val="0"/>
          <w:rtl/>
        </w:rPr>
      </w:pPr>
      <w:r>
        <w:rPr>
          <w:rFonts w:ascii="Arial" w:hAnsi="Arial"/>
          <w:noProof w:val="0"/>
          <w:rtl/>
        </w:rPr>
        <w:t xml:space="preserve">כמו כן, </w:t>
      </w:r>
      <w:r w:rsidR="002125C8">
        <w:rPr>
          <w:rFonts w:ascii="Arial" w:hAnsi="Arial" w:hint="cs"/>
          <w:noProof w:val="0"/>
          <w:rtl/>
        </w:rPr>
        <w:t xml:space="preserve">ולאור התוצאה </w:t>
      </w:r>
      <w:r>
        <w:rPr>
          <w:rFonts w:ascii="Arial" w:hAnsi="Arial"/>
          <w:noProof w:val="0"/>
          <w:rtl/>
        </w:rPr>
        <w:t xml:space="preserve">יש לחייב את העוררים בהוצאות ושכ"ט המשיב בסך כולל </w:t>
      </w:r>
      <w:r w:rsidRPr="00F20468">
        <w:rPr>
          <w:rFonts w:ascii="Arial" w:hAnsi="Arial"/>
          <w:noProof w:val="0"/>
          <w:rtl/>
        </w:rPr>
        <w:t>של</w:t>
      </w:r>
      <w:r>
        <w:rPr>
          <w:rFonts w:ascii="Arial" w:hAnsi="Arial"/>
          <w:noProof w:val="0"/>
          <w:rtl/>
        </w:rPr>
        <w:t xml:space="preserve"> </w:t>
      </w:r>
      <w:r w:rsidR="002125C8">
        <w:rPr>
          <w:rFonts w:ascii="Arial" w:hAnsi="Arial" w:hint="cs"/>
          <w:noProof w:val="0"/>
          <w:rtl/>
        </w:rPr>
        <w:t>2</w:t>
      </w:r>
      <w:r>
        <w:rPr>
          <w:rFonts w:ascii="Arial" w:hAnsi="Arial"/>
          <w:noProof w:val="0"/>
          <w:rtl/>
        </w:rPr>
        <w:t>5,000 ₪ אשר</w:t>
      </w:r>
      <w:r w:rsidR="00805A87">
        <w:rPr>
          <w:rFonts w:ascii="Arial" w:hAnsi="Arial"/>
          <w:noProof w:val="0"/>
          <w:rtl/>
        </w:rPr>
        <w:t xml:space="preserve"> ישולם תוך 45 ימים מהיום. לאחר </w:t>
      </w:r>
      <w:r>
        <w:rPr>
          <w:rFonts w:ascii="Arial" w:hAnsi="Arial"/>
          <w:noProof w:val="0"/>
          <w:rtl/>
        </w:rPr>
        <w:t>מועד זה יתווספו לסכום הנ"ל הפרשי הצמדה וריבית כחוק</w:t>
      </w:r>
      <w:r w:rsidR="002125C8">
        <w:rPr>
          <w:rFonts w:ascii="Arial" w:hAnsi="Arial" w:hint="cs"/>
          <w:noProof w:val="0"/>
          <w:rtl/>
        </w:rPr>
        <w:t>.</w:t>
      </w:r>
      <w:r w:rsidR="002125C8">
        <w:rPr>
          <w:rFonts w:ascii="Arial" w:hAnsi="Arial"/>
          <w:noProof w:val="0"/>
          <w:rtl/>
        </w:rPr>
        <w:t xml:space="preserve"> </w:t>
      </w:r>
    </w:p>
    <w:p w:rsidR="00A75C81" w:rsidRDefault="00A75C81" w:rsidP="00A75C81">
      <w:pPr>
        <w:rPr>
          <w:rFonts w:ascii="David" w:hAnsi="David"/>
        </w:rPr>
      </w:pPr>
    </w:p>
    <w:p w:rsidR="00A75C81" w:rsidRDefault="00A75C81" w:rsidP="00A75C81">
      <w:pPr>
        <w:spacing w:line="360" w:lineRule="auto"/>
        <w:jc w:val="both"/>
        <w:rPr>
          <w:rFonts w:ascii="David" w:hAnsi="David"/>
          <w:b/>
          <w:bCs/>
          <w:noProof w:val="0"/>
          <w:u w:val="single"/>
          <w:rtl/>
        </w:rPr>
      </w:pPr>
      <w:r>
        <w:rPr>
          <w:rFonts w:ascii="David" w:hAnsi="David"/>
          <w:b/>
          <w:bCs/>
          <w:noProof w:val="0"/>
          <w:u w:val="single"/>
          <w:rtl/>
        </w:rPr>
        <w:t xml:space="preserve">חברת הוועדה, גב' נאוה סירקיס: </w:t>
      </w:r>
    </w:p>
    <w:p w:rsidR="00A75C81" w:rsidRPr="008A7359" w:rsidRDefault="008A7359" w:rsidP="00A75C81">
      <w:pPr>
        <w:spacing w:line="360" w:lineRule="auto"/>
        <w:jc w:val="both"/>
        <w:rPr>
          <w:rFonts w:ascii="David" w:hAnsi="David"/>
          <w:noProof w:val="0"/>
          <w:rtl/>
        </w:rPr>
      </w:pPr>
      <w:r w:rsidRPr="008A7359">
        <w:rPr>
          <w:rFonts w:ascii="David" w:hAnsi="David" w:hint="cs"/>
          <w:noProof w:val="0"/>
          <w:rtl/>
        </w:rPr>
        <w:t>אני מסכימה לחוות דעתו של יו"ר הועדה, כב' השופט אביגדור דורות</w:t>
      </w:r>
      <w:r>
        <w:rPr>
          <w:rFonts w:ascii="David" w:hAnsi="David" w:hint="cs"/>
          <w:noProof w:val="0"/>
          <w:rtl/>
        </w:rPr>
        <w:t xml:space="preserve">. </w:t>
      </w:r>
    </w:p>
    <w:p w:rsidR="00A75C81" w:rsidRDefault="00A75C81" w:rsidP="00A75C81">
      <w:pPr>
        <w:spacing w:line="360" w:lineRule="auto"/>
        <w:jc w:val="both"/>
        <w:rPr>
          <w:rFonts w:ascii="David" w:hAnsi="David"/>
          <w:b/>
          <w:bCs/>
          <w:noProof w:val="0"/>
          <w:u w:val="single"/>
          <w:rtl/>
        </w:rPr>
      </w:pPr>
    </w:p>
    <w:p w:rsidR="00A75C81" w:rsidRDefault="00A75C81" w:rsidP="00A75C81">
      <w:pPr>
        <w:spacing w:line="360" w:lineRule="auto"/>
        <w:jc w:val="both"/>
        <w:rPr>
          <w:rFonts w:ascii="David" w:hAnsi="David"/>
          <w:b/>
          <w:bCs/>
          <w:noProof w:val="0"/>
          <w:u w:val="single"/>
          <w:rtl/>
        </w:rPr>
      </w:pPr>
      <w:r>
        <w:rPr>
          <w:rFonts w:ascii="David" w:hAnsi="David"/>
          <w:b/>
          <w:bCs/>
          <w:noProof w:val="0"/>
          <w:u w:val="single"/>
          <w:rtl/>
        </w:rPr>
        <w:t>חברת הוועדה, גב' גבע בלטר:</w:t>
      </w:r>
    </w:p>
    <w:p w:rsidR="008A7359" w:rsidRPr="008A7359" w:rsidRDefault="008A7359" w:rsidP="00A75C81">
      <w:pPr>
        <w:spacing w:line="360" w:lineRule="auto"/>
        <w:jc w:val="both"/>
        <w:rPr>
          <w:rFonts w:ascii="David" w:hAnsi="David"/>
          <w:noProof w:val="0"/>
          <w:rtl/>
        </w:rPr>
      </w:pPr>
      <w:r w:rsidRPr="008A7359">
        <w:rPr>
          <w:rFonts w:ascii="David" w:hAnsi="David" w:hint="cs"/>
          <w:noProof w:val="0"/>
          <w:rtl/>
        </w:rPr>
        <w:t xml:space="preserve">אני </w:t>
      </w:r>
      <w:r>
        <w:rPr>
          <w:rFonts w:ascii="David" w:hAnsi="David" w:hint="cs"/>
          <w:noProof w:val="0"/>
          <w:rtl/>
        </w:rPr>
        <w:t>מ</w:t>
      </w:r>
      <w:r w:rsidRPr="008A7359">
        <w:rPr>
          <w:rFonts w:ascii="David" w:hAnsi="David" w:hint="cs"/>
          <w:noProof w:val="0"/>
          <w:rtl/>
        </w:rPr>
        <w:t xml:space="preserve">צטרפת לחוות דעתו של יו"ר הועדה, כב' </w:t>
      </w:r>
      <w:r w:rsidR="00F5363A">
        <w:rPr>
          <w:rFonts w:ascii="David" w:hAnsi="David" w:hint="cs"/>
          <w:noProof w:val="0"/>
          <w:rtl/>
        </w:rPr>
        <w:t xml:space="preserve">השופט </w:t>
      </w:r>
      <w:r w:rsidRPr="008A7359">
        <w:rPr>
          <w:rFonts w:ascii="David" w:hAnsi="David" w:hint="cs"/>
          <w:noProof w:val="0"/>
          <w:rtl/>
        </w:rPr>
        <w:t xml:space="preserve">אביגדור דורות. </w:t>
      </w:r>
    </w:p>
    <w:p w:rsidR="00A75C81" w:rsidRDefault="00A75C81" w:rsidP="00A75C81">
      <w:pPr>
        <w:spacing w:line="360" w:lineRule="auto"/>
        <w:jc w:val="both"/>
        <w:rPr>
          <w:rFonts w:ascii="David" w:hAnsi="David"/>
          <w:b/>
          <w:bCs/>
          <w:noProof w:val="0"/>
          <w:u w:val="single"/>
          <w:rtl/>
        </w:rPr>
      </w:pPr>
    </w:p>
    <w:p w:rsidR="00A75C81" w:rsidRDefault="00A75C81" w:rsidP="00F5363A">
      <w:pPr>
        <w:spacing w:line="360" w:lineRule="auto"/>
        <w:jc w:val="both"/>
        <w:rPr>
          <w:rFonts w:ascii="David" w:hAnsi="David"/>
          <w:noProof w:val="0"/>
          <w:rtl/>
        </w:rPr>
      </w:pPr>
      <w:r>
        <w:rPr>
          <w:rFonts w:ascii="David" w:hAnsi="David"/>
          <w:noProof w:val="0"/>
          <w:rtl/>
        </w:rPr>
        <w:t xml:space="preserve">אשר על כן, הוחלט </w:t>
      </w:r>
      <w:r w:rsidR="008A7359">
        <w:rPr>
          <w:rFonts w:ascii="David" w:hAnsi="David" w:hint="cs"/>
          <w:noProof w:val="0"/>
          <w:rtl/>
        </w:rPr>
        <w:t>לדחות את הערעור באופן חלקי, ולחייב את העוררים בהוצאות</w:t>
      </w:r>
      <w:r w:rsidR="00F5363A">
        <w:rPr>
          <w:rFonts w:ascii="David" w:hAnsi="David" w:hint="cs"/>
          <w:noProof w:val="0"/>
          <w:rtl/>
        </w:rPr>
        <w:t>-</w:t>
      </w:r>
      <w:r w:rsidR="008A7359">
        <w:rPr>
          <w:rFonts w:ascii="David" w:hAnsi="David" w:hint="cs"/>
          <w:noProof w:val="0"/>
          <w:rtl/>
        </w:rPr>
        <w:t xml:space="preserve"> כמפורט לעיל בפסקה 7</w:t>
      </w:r>
      <w:r w:rsidR="00F5363A">
        <w:rPr>
          <w:rFonts w:ascii="David" w:hAnsi="David" w:hint="cs"/>
          <w:noProof w:val="0"/>
          <w:rtl/>
        </w:rPr>
        <w:t>5</w:t>
      </w:r>
      <w:r w:rsidR="008A7359">
        <w:rPr>
          <w:rFonts w:ascii="David" w:hAnsi="David" w:hint="cs"/>
          <w:noProof w:val="0"/>
          <w:rtl/>
        </w:rPr>
        <w:t xml:space="preserve"> לחוות דעתו של יו"ר הועדה. </w:t>
      </w:r>
    </w:p>
    <w:p w:rsidR="00A75C81" w:rsidRDefault="00A75C81" w:rsidP="00A75C81">
      <w:pPr>
        <w:spacing w:line="360" w:lineRule="auto"/>
        <w:jc w:val="both"/>
        <w:rPr>
          <w:rFonts w:ascii="David" w:hAnsi="David"/>
          <w:b/>
          <w:bCs/>
          <w:noProof w:val="0"/>
          <w:u w:val="single"/>
          <w:rtl/>
        </w:rPr>
      </w:pPr>
    </w:p>
    <w:p w:rsidR="00A75C81" w:rsidRDefault="00A75C81" w:rsidP="00A75C81">
      <w:pPr>
        <w:spacing w:line="360" w:lineRule="auto"/>
        <w:jc w:val="both"/>
        <w:rPr>
          <w:rFonts w:ascii="David" w:hAnsi="David"/>
          <w:noProof w:val="0"/>
          <w:rtl/>
        </w:rPr>
      </w:pPr>
      <w:r>
        <w:rPr>
          <w:rFonts w:ascii="David" w:hAnsi="David"/>
          <w:b/>
          <w:bCs/>
          <w:noProof w:val="0"/>
          <w:u w:val="single"/>
          <w:rtl/>
        </w:rPr>
        <w:t>המזכירות תמציא את פסק הדין לב"כ הצדדים.</w:t>
      </w:r>
    </w:p>
    <w:p w:rsidR="00A75C81" w:rsidRDefault="00A75C81" w:rsidP="00A75C81">
      <w:pPr>
        <w:spacing w:line="360" w:lineRule="auto"/>
        <w:jc w:val="both"/>
        <w:rPr>
          <w:rFonts w:ascii="Arial" w:hAnsi="Arial"/>
          <w:noProof w:val="0"/>
          <w:rtl/>
        </w:rPr>
      </w:pPr>
    </w:p>
    <w:p w:rsidR="00A75C81" w:rsidRDefault="00A75C81" w:rsidP="008A7359">
      <w:pPr>
        <w:spacing w:line="360" w:lineRule="auto"/>
        <w:jc w:val="both"/>
        <w:rPr>
          <w:rFonts w:ascii="Arial" w:hAnsi="Arial"/>
          <w:noProof w:val="0"/>
          <w:rtl/>
        </w:rPr>
      </w:pPr>
      <w:r>
        <w:rPr>
          <w:rFonts w:ascii="Arial" w:hAnsi="Arial"/>
          <w:noProof w:val="0"/>
          <w:rtl/>
        </w:rPr>
        <w:t xml:space="preserve">ניתן היום,  </w:t>
      </w:r>
      <w:r w:rsidR="008A7359">
        <w:rPr>
          <w:rFonts w:hint="cs"/>
          <w:rtl/>
        </w:rPr>
        <w:t>כ"א בסיון תשפ"ד</w:t>
      </w:r>
      <w:r>
        <w:rPr>
          <w:rFonts w:ascii="Arial" w:hAnsi="Arial"/>
          <w:noProof w:val="0"/>
          <w:rtl/>
        </w:rPr>
        <w:t xml:space="preserve">, </w:t>
      </w:r>
      <w:sdt>
        <w:sdtPr>
          <w:rPr>
            <w:rtl/>
          </w:rPr>
          <w:alias w:val="1456"/>
          <w:tag w:val="1456"/>
          <w:id w:val="1108006587"/>
          <w:text w:multiLine="1"/>
        </w:sdtPr>
        <w:sdtEndPr/>
        <w:sdtContent>
          <w:r>
            <w:rPr>
              <w:rFonts w:ascii="Arial" w:hAnsi="Arial" w:hint="cs"/>
              <w:noProof w:val="0"/>
              <w:rtl/>
            </w:rPr>
            <w:t>27 יוני 2024</w:t>
          </w:r>
        </w:sdtContent>
      </w:sdt>
      <w:r>
        <w:rPr>
          <w:rFonts w:ascii="Arial" w:hAnsi="Arial"/>
          <w:noProof w:val="0"/>
          <w:rtl/>
        </w:rPr>
        <w:t>, בהעדר הצדדים.</w:t>
      </w:r>
    </w:p>
    <w:p w:rsidR="008A2EC0" w:rsidRDefault="008A2EC0" w:rsidP="00E532C2">
      <w:pPr>
        <w:spacing w:line="360" w:lineRule="auto"/>
        <w:jc w:val="both"/>
        <w:rPr>
          <w:rFonts w:ascii="Arial" w:hAnsi="Arial"/>
          <w:noProof w:val="0"/>
          <w:rtl/>
        </w:rPr>
      </w:pPr>
    </w:p>
    <w:tbl>
      <w:tblPr>
        <w:bidiVisual/>
        <w:tblW w:w="0" w:type="auto"/>
        <w:tblLook w:val="00A0" w:firstRow="1" w:lastRow="0" w:firstColumn="1" w:lastColumn="0" w:noHBand="0" w:noVBand="0"/>
      </w:tblPr>
      <w:tblGrid>
        <w:gridCol w:w="3055"/>
        <w:gridCol w:w="2725"/>
        <w:gridCol w:w="2725"/>
      </w:tblGrid>
      <w:tr w:rsidR="001A0AE8" w:rsidTr="001A0AE8">
        <w:trPr>
          <w:trHeight w:val="2115"/>
        </w:trPr>
        <w:tc>
          <w:tcPr>
            <w:tcW w:w="3055" w:type="dxa"/>
          </w:tcPr>
          <w:p w:rsidR="001A0AE8" w:rsidRDefault="001A0AE8">
            <w:pPr>
              <w:rPr>
                <w:sz w:val="14"/>
                <w:szCs w:val="14"/>
              </w:rPr>
            </w:pPr>
          </w:p>
          <w:p w:rsidR="001A0AE8" w:rsidRDefault="001A0AE8">
            <w:pPr>
              <w:rPr>
                <w:sz w:val="14"/>
                <w:szCs w:val="14"/>
              </w:rPr>
            </w:pPr>
          </w:p>
          <w:tbl>
            <w:tblPr>
              <w:bidiVisual/>
              <w:tblW w:w="0" w:type="auto"/>
              <w:tblLook w:val="01E0" w:firstRow="1" w:lastRow="1" w:firstColumn="1" w:lastColumn="1" w:noHBand="0" w:noVBand="0"/>
            </w:tblPr>
            <w:tblGrid>
              <w:gridCol w:w="2616"/>
              <w:gridCol w:w="222"/>
            </w:tblGrid>
            <w:tr w:rsidR="001A0AE8">
              <w:tc>
                <w:tcPr>
                  <w:tcW w:w="2616" w:type="dxa"/>
                  <w:tcBorders>
                    <w:top w:val="nil"/>
                    <w:left w:val="nil"/>
                    <w:bottom w:val="single" w:sz="4" w:space="0" w:color="auto"/>
                    <w:right w:val="nil"/>
                  </w:tcBorders>
                  <w:vAlign w:val="center"/>
                </w:tcPr>
                <w:p w:rsidR="001A0AE8" w:rsidRDefault="001A0AE8">
                  <w:pPr>
                    <w:jc w:val="center"/>
                    <w:rPr>
                      <w:rFonts w:ascii="Courier New" w:hAnsi="Courier New"/>
                      <w:b/>
                      <w:bCs/>
                      <w:noProof w:val="0"/>
                      <w:rtl/>
                    </w:rPr>
                  </w:pPr>
                </w:p>
                <w:p w:rsidR="001A0AE8" w:rsidRDefault="001A0AE8">
                  <w:pPr>
                    <w:jc w:val="center"/>
                    <w:rPr>
                      <w:rFonts w:ascii="Courier New" w:hAnsi="Courier New"/>
                      <w:b/>
                      <w:bCs/>
                      <w:sz w:val="6"/>
                      <w:szCs w:val="6"/>
                    </w:rPr>
                  </w:pPr>
                  <w:r>
                    <w:drawing>
                      <wp:inline distT="0" distB="0" distL="0" distR="0">
                        <wp:extent cx="1468755" cy="568960"/>
                        <wp:effectExtent l="0" t="0" r="0" b="254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8755" cy="568960"/>
                                </a:xfrm>
                                <a:prstGeom prst="rect">
                                  <a:avLst/>
                                </a:prstGeom>
                                <a:noFill/>
                                <a:ln>
                                  <a:noFill/>
                                </a:ln>
                              </pic:spPr>
                            </pic:pic>
                          </a:graphicData>
                        </a:graphic>
                      </wp:inline>
                    </w:drawing>
                  </w:r>
                </w:p>
                <w:p w:rsidR="001A0AE8" w:rsidRDefault="001A0AE8">
                  <w:pPr>
                    <w:jc w:val="center"/>
                    <w:rPr>
                      <w:rFonts w:ascii="Courier New" w:hAnsi="Courier New"/>
                      <w:b/>
                      <w:bCs/>
                      <w:sz w:val="6"/>
                      <w:szCs w:val="6"/>
                      <w:rtl/>
                    </w:rPr>
                  </w:pPr>
                </w:p>
                <w:p w:rsidR="001A0AE8" w:rsidRDefault="001A0AE8">
                  <w:pPr>
                    <w:jc w:val="center"/>
                    <w:rPr>
                      <w:rFonts w:ascii="Courier New" w:hAnsi="Courier New"/>
                      <w:b/>
                      <w:bCs/>
                      <w:sz w:val="6"/>
                      <w:szCs w:val="6"/>
                      <w:rtl/>
                    </w:rPr>
                  </w:pPr>
                </w:p>
                <w:p w:rsidR="001A0AE8" w:rsidRDefault="001A0AE8">
                  <w:pPr>
                    <w:jc w:val="center"/>
                    <w:rPr>
                      <w:rFonts w:ascii="Courier New" w:hAnsi="Courier New"/>
                      <w:b/>
                      <w:bCs/>
                      <w:sz w:val="6"/>
                      <w:szCs w:val="6"/>
                      <w:rtl/>
                    </w:rPr>
                  </w:pPr>
                </w:p>
                <w:p w:rsidR="001A0AE8" w:rsidRDefault="001A0AE8">
                  <w:pPr>
                    <w:jc w:val="center"/>
                    <w:rPr>
                      <w:rFonts w:ascii="Courier New" w:hAnsi="Courier New"/>
                      <w:b/>
                      <w:bCs/>
                      <w:sz w:val="6"/>
                      <w:szCs w:val="6"/>
                      <w:rtl/>
                    </w:rPr>
                  </w:pPr>
                </w:p>
              </w:tc>
              <w:tc>
                <w:tcPr>
                  <w:tcW w:w="222" w:type="dxa"/>
                  <w:tcBorders>
                    <w:top w:val="nil"/>
                    <w:left w:val="nil"/>
                    <w:bottom w:val="single" w:sz="4" w:space="0" w:color="auto"/>
                    <w:right w:val="nil"/>
                  </w:tcBorders>
                </w:tcPr>
                <w:p w:rsidR="001A0AE8" w:rsidRDefault="001A0AE8">
                  <w:pPr>
                    <w:jc w:val="center"/>
                    <w:rPr>
                      <w:rtl/>
                    </w:rPr>
                  </w:pPr>
                </w:p>
              </w:tc>
            </w:tr>
            <w:tr w:rsidR="001A0AE8">
              <w:tc>
                <w:tcPr>
                  <w:tcW w:w="2616" w:type="dxa"/>
                  <w:tcBorders>
                    <w:top w:val="single" w:sz="4" w:space="0" w:color="auto"/>
                    <w:left w:val="nil"/>
                    <w:bottom w:val="nil"/>
                    <w:right w:val="nil"/>
                  </w:tcBorders>
                  <w:hideMark/>
                </w:tcPr>
                <w:p w:rsidR="001A0AE8" w:rsidRDefault="001A0AE8">
                  <w:pPr>
                    <w:keepNext/>
                    <w:keepLines/>
                    <w:spacing w:before="40"/>
                    <w:jc w:val="center"/>
                    <w:outlineLvl w:val="2"/>
                    <w:rPr>
                      <w:rFonts w:asciiTheme="majorHAnsi" w:eastAsiaTheme="majorEastAsia" w:hAnsiTheme="majorHAnsi"/>
                      <w:b/>
                      <w:bCs/>
                      <w:sz w:val="28"/>
                    </w:rPr>
                  </w:pPr>
                  <w:r>
                    <w:rPr>
                      <w:rFonts w:asciiTheme="majorHAnsi" w:eastAsiaTheme="majorEastAsia" w:hAnsiTheme="majorHAnsi"/>
                      <w:b/>
                      <w:bCs/>
                      <w:sz w:val="28"/>
                      <w:rtl/>
                    </w:rPr>
                    <w:t xml:space="preserve">אביגדור דורות, </w:t>
                  </w:r>
                  <w:r w:rsidR="008A7359">
                    <w:rPr>
                      <w:rFonts w:asciiTheme="majorHAnsi" w:eastAsiaTheme="majorEastAsia" w:hAnsiTheme="majorHAnsi" w:hint="cs"/>
                      <w:b/>
                      <w:bCs/>
                      <w:sz w:val="28"/>
                      <w:rtl/>
                    </w:rPr>
                    <w:t>שופט</w:t>
                  </w:r>
                </w:p>
                <w:p w:rsidR="001A0AE8" w:rsidRDefault="001A0AE8">
                  <w:pPr>
                    <w:keepNext/>
                    <w:keepLines/>
                    <w:spacing w:before="40"/>
                    <w:jc w:val="center"/>
                    <w:outlineLvl w:val="2"/>
                    <w:rPr>
                      <w:rFonts w:asciiTheme="majorHAnsi" w:eastAsiaTheme="majorEastAsia" w:hAnsiTheme="majorHAnsi"/>
                      <w:b/>
                      <w:bCs/>
                      <w:noProof w:val="0"/>
                      <w:sz w:val="28"/>
                      <w:rtl/>
                    </w:rPr>
                  </w:pPr>
                  <w:r>
                    <w:rPr>
                      <w:rFonts w:asciiTheme="majorHAnsi" w:eastAsiaTheme="majorEastAsia" w:hAnsiTheme="majorHAnsi"/>
                      <w:b/>
                      <w:bCs/>
                      <w:sz w:val="28"/>
                      <w:rtl/>
                    </w:rPr>
                    <w:t>יו"ר</w:t>
                  </w:r>
                </w:p>
              </w:tc>
              <w:tc>
                <w:tcPr>
                  <w:tcW w:w="222" w:type="dxa"/>
                  <w:tcBorders>
                    <w:top w:val="single" w:sz="4" w:space="0" w:color="auto"/>
                    <w:left w:val="nil"/>
                    <w:bottom w:val="nil"/>
                    <w:right w:val="nil"/>
                  </w:tcBorders>
                </w:tcPr>
                <w:p w:rsidR="001A0AE8" w:rsidRDefault="001A0AE8">
                  <w:pPr>
                    <w:keepNext/>
                    <w:keepLines/>
                    <w:spacing w:before="40"/>
                    <w:jc w:val="center"/>
                    <w:outlineLvl w:val="2"/>
                    <w:rPr>
                      <w:rFonts w:asciiTheme="majorHAnsi" w:eastAsiaTheme="majorEastAsia" w:hAnsiTheme="majorHAnsi" w:cs="Times New Roman"/>
                      <w:color w:val="243F60" w:themeColor="accent1" w:themeShade="7F"/>
                      <w:sz w:val="14"/>
                      <w:szCs w:val="10"/>
                    </w:rPr>
                  </w:pPr>
                </w:p>
              </w:tc>
            </w:tr>
          </w:tbl>
          <w:p w:rsidR="001A0AE8" w:rsidRDefault="001A0AE8">
            <w:pPr>
              <w:spacing w:line="360" w:lineRule="auto"/>
              <w:jc w:val="both"/>
              <w:rPr>
                <w:rFonts w:ascii="Arial" w:hAnsi="Arial"/>
              </w:rPr>
            </w:pPr>
          </w:p>
        </w:tc>
        <w:tc>
          <w:tcPr>
            <w:tcW w:w="2725" w:type="dxa"/>
          </w:tcPr>
          <w:p w:rsidR="001A0AE8" w:rsidRDefault="001A0AE8">
            <w:pPr>
              <w:jc w:val="center"/>
              <w:rPr>
                <w:sz w:val="22"/>
                <w:szCs w:val="22"/>
                <w:rtl/>
              </w:rPr>
            </w:pPr>
          </w:p>
          <w:p w:rsidR="001A0AE8" w:rsidRDefault="001A0AE8">
            <w:pPr>
              <w:rPr>
                <w:sz w:val="2"/>
                <w:szCs w:val="2"/>
              </w:rPr>
            </w:pPr>
          </w:p>
          <w:p w:rsidR="001A0AE8" w:rsidRDefault="001A0AE8">
            <w:pPr>
              <w:rPr>
                <w:sz w:val="2"/>
                <w:szCs w:val="2"/>
                <w:rtl/>
              </w:rPr>
            </w:pPr>
          </w:p>
          <w:p w:rsidR="001A0AE8" w:rsidRDefault="001A0AE8">
            <w:pPr>
              <w:jc w:val="center"/>
              <w:rPr>
                <w:sz w:val="2"/>
                <w:szCs w:val="2"/>
                <w:rtl/>
              </w:rPr>
            </w:pPr>
          </w:p>
          <w:p w:rsidR="001A0AE8" w:rsidRDefault="001A0AE8">
            <w:pPr>
              <w:rPr>
                <w:sz w:val="2"/>
                <w:szCs w:val="2"/>
                <w:rtl/>
              </w:rPr>
            </w:pPr>
          </w:p>
          <w:p w:rsidR="001A0AE8" w:rsidRDefault="001A0AE8">
            <w:pPr>
              <w:rPr>
                <w:sz w:val="2"/>
                <w:szCs w:val="2"/>
                <w:rtl/>
              </w:rPr>
            </w:pPr>
          </w:p>
          <w:p w:rsidR="001A0AE8" w:rsidRDefault="001A0AE8">
            <w:pPr>
              <w:rPr>
                <w:sz w:val="2"/>
                <w:szCs w:val="2"/>
                <w:rtl/>
              </w:rPr>
            </w:pPr>
          </w:p>
          <w:p w:rsidR="001A0AE8" w:rsidRDefault="001A0AE8">
            <w:pPr>
              <w:rPr>
                <w:sz w:val="2"/>
                <w:szCs w:val="2"/>
                <w:rtl/>
              </w:rPr>
            </w:pPr>
          </w:p>
          <w:p w:rsidR="001A0AE8" w:rsidRDefault="001A0AE8">
            <w:pPr>
              <w:rPr>
                <w:sz w:val="2"/>
                <w:szCs w:val="2"/>
                <w:rtl/>
              </w:rPr>
            </w:pPr>
          </w:p>
          <w:p w:rsidR="001A0AE8" w:rsidRDefault="001A0AE8">
            <w:pPr>
              <w:rPr>
                <w:sz w:val="2"/>
                <w:szCs w:val="2"/>
                <w:rtl/>
              </w:rPr>
            </w:pPr>
          </w:p>
          <w:p w:rsidR="001A0AE8" w:rsidRDefault="001A0AE8">
            <w:pPr>
              <w:rPr>
                <w:sz w:val="2"/>
                <w:szCs w:val="2"/>
                <w:rtl/>
              </w:rPr>
            </w:pPr>
          </w:p>
          <w:tbl>
            <w:tblPr>
              <w:bidiVisual/>
              <w:tblW w:w="0" w:type="auto"/>
              <w:tblLook w:val="01E0" w:firstRow="1" w:lastRow="1" w:firstColumn="1" w:lastColumn="1" w:noHBand="0" w:noVBand="0"/>
            </w:tblPr>
            <w:tblGrid>
              <w:gridCol w:w="2509"/>
            </w:tblGrid>
            <w:tr w:rsidR="001A0AE8" w:rsidTr="001A0AE8">
              <w:tc>
                <w:tcPr>
                  <w:tcW w:w="2509" w:type="dxa"/>
                  <w:tcBorders>
                    <w:top w:val="nil"/>
                    <w:left w:val="nil"/>
                    <w:bottom w:val="single" w:sz="4" w:space="0" w:color="auto"/>
                    <w:right w:val="nil"/>
                  </w:tcBorders>
                  <w:hideMark/>
                </w:tcPr>
                <w:p w:rsidR="001A0AE8" w:rsidRDefault="00E61980" w:rsidP="001A0AE8">
                  <w:pPr>
                    <w:jc w:val="center"/>
                    <w:rPr>
                      <w:rtl/>
                    </w:rPr>
                  </w:pPr>
                  <w:r>
                    <w:pict w14:anchorId="0363C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תמונה 3" o:spid="_x0000_i1025" type="#_x0000_t75" alt="גבע בלטר" style="width:90.15pt;height:52.6pt;visibility:visible;mso-wrap-style:square">
                        <v:imagedata r:id="rId11" o:title="גבע בלטר"/>
                      </v:shape>
                    </w:pict>
                  </w:r>
                </w:p>
                <w:p w:rsidR="001A0AE8" w:rsidRDefault="001A0AE8" w:rsidP="001A0AE8">
                  <w:pPr>
                    <w:jc w:val="center"/>
                  </w:pPr>
                </w:p>
              </w:tc>
            </w:tr>
            <w:tr w:rsidR="001A0AE8" w:rsidTr="001A0AE8">
              <w:tc>
                <w:tcPr>
                  <w:tcW w:w="2509" w:type="dxa"/>
                  <w:tcBorders>
                    <w:top w:val="single" w:sz="4" w:space="0" w:color="auto"/>
                    <w:left w:val="nil"/>
                    <w:bottom w:val="nil"/>
                    <w:right w:val="nil"/>
                  </w:tcBorders>
                  <w:hideMark/>
                </w:tcPr>
                <w:p w:rsidR="001A0AE8" w:rsidRDefault="001A0AE8" w:rsidP="001A0AE8">
                  <w:pPr>
                    <w:jc w:val="center"/>
                    <w:rPr>
                      <w:b/>
                      <w:bCs/>
                      <w:sz w:val="28"/>
                      <w:szCs w:val="28"/>
                    </w:rPr>
                  </w:pPr>
                  <w:r>
                    <w:rPr>
                      <w:b/>
                      <w:bCs/>
                      <w:sz w:val="28"/>
                      <w:szCs w:val="28"/>
                      <w:rtl/>
                    </w:rPr>
                    <w:t>גב' גבע בלטר,</w:t>
                  </w:r>
                </w:p>
                <w:p w:rsidR="001A0AE8" w:rsidRDefault="001A0AE8" w:rsidP="001A0AE8">
                  <w:pPr>
                    <w:jc w:val="center"/>
                    <w:rPr>
                      <w:b/>
                      <w:bCs/>
                      <w:rtl/>
                    </w:rPr>
                  </w:pPr>
                  <w:r>
                    <w:rPr>
                      <w:b/>
                      <w:bCs/>
                      <w:sz w:val="28"/>
                      <w:szCs w:val="28"/>
                      <w:rtl/>
                    </w:rPr>
                    <w:t>חברת וועדה</w:t>
                  </w:r>
                </w:p>
              </w:tc>
            </w:tr>
          </w:tbl>
          <w:p w:rsidR="001A0AE8" w:rsidRDefault="001A0AE8">
            <w:pPr>
              <w:spacing w:line="360" w:lineRule="auto"/>
              <w:jc w:val="both"/>
              <w:rPr>
                <w:rFonts w:ascii="Arial" w:hAnsi="Arial"/>
              </w:rPr>
            </w:pPr>
          </w:p>
        </w:tc>
        <w:tc>
          <w:tcPr>
            <w:tcW w:w="2725" w:type="dxa"/>
          </w:tcPr>
          <w:p w:rsidR="001A0AE8" w:rsidRDefault="001A0AE8">
            <w:pPr>
              <w:rPr>
                <w:sz w:val="4"/>
                <w:szCs w:val="4"/>
              </w:rPr>
            </w:pPr>
          </w:p>
          <w:tbl>
            <w:tblPr>
              <w:bidiVisual/>
              <w:tblW w:w="0" w:type="auto"/>
              <w:tblLook w:val="01E0" w:firstRow="1" w:lastRow="1" w:firstColumn="1" w:lastColumn="1" w:noHBand="0" w:noVBand="0"/>
            </w:tblPr>
            <w:tblGrid>
              <w:gridCol w:w="2392"/>
            </w:tblGrid>
            <w:tr w:rsidR="001A0AE8">
              <w:tc>
                <w:tcPr>
                  <w:tcW w:w="2392" w:type="dxa"/>
                  <w:tcBorders>
                    <w:top w:val="nil"/>
                    <w:left w:val="nil"/>
                    <w:bottom w:val="single" w:sz="4" w:space="0" w:color="auto"/>
                    <w:right w:val="nil"/>
                  </w:tcBorders>
                  <w:vAlign w:val="center"/>
                </w:tcPr>
                <w:p w:rsidR="001A0AE8" w:rsidRDefault="001A0AE8">
                  <w:pPr>
                    <w:tabs>
                      <w:tab w:val="center" w:pos="4153"/>
                      <w:tab w:val="right" w:pos="8306"/>
                    </w:tabs>
                    <w:spacing w:before="40" w:after="40"/>
                    <w:rPr>
                      <w:rFonts w:ascii="Courier New" w:hAnsi="Courier New"/>
                      <w:b/>
                      <w:bCs/>
                      <w:noProof w:val="0"/>
                      <w:sz w:val="2"/>
                      <w:szCs w:val="2"/>
                    </w:rPr>
                  </w:pPr>
                  <w:r>
                    <w:drawing>
                      <wp:anchor distT="0" distB="0" distL="114300" distR="114300" simplePos="0" relativeHeight="251660288" behindDoc="0" locked="0" layoutInCell="1" allowOverlap="1">
                        <wp:simplePos x="0" y="0"/>
                        <wp:positionH relativeFrom="column">
                          <wp:posOffset>75565</wp:posOffset>
                        </wp:positionH>
                        <wp:positionV relativeFrom="paragraph">
                          <wp:posOffset>-497840</wp:posOffset>
                        </wp:positionV>
                        <wp:extent cx="1250950" cy="826770"/>
                        <wp:effectExtent l="0" t="0" r="6350" b="0"/>
                        <wp:wrapSquare wrapText="bothSides"/>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0950" cy="826770"/>
                                </a:xfrm>
                                <a:prstGeom prst="rect">
                                  <a:avLst/>
                                </a:prstGeom>
                                <a:noFill/>
                              </pic:spPr>
                            </pic:pic>
                          </a:graphicData>
                        </a:graphic>
                        <wp14:sizeRelH relativeFrom="page">
                          <wp14:pctWidth>0</wp14:pctWidth>
                        </wp14:sizeRelH>
                        <wp14:sizeRelV relativeFrom="page">
                          <wp14:pctHeight>0</wp14:pctHeight>
                        </wp14:sizeRelV>
                      </wp:anchor>
                    </w:drawing>
                  </w:r>
                </w:p>
                <w:p w:rsidR="001A0AE8" w:rsidRDefault="001A0AE8">
                  <w:pPr>
                    <w:tabs>
                      <w:tab w:val="center" w:pos="4153"/>
                      <w:tab w:val="right" w:pos="8306"/>
                    </w:tabs>
                    <w:spacing w:before="40" w:after="40"/>
                    <w:rPr>
                      <w:rFonts w:ascii="Courier New" w:hAnsi="Courier New"/>
                      <w:b/>
                      <w:bCs/>
                      <w:sz w:val="2"/>
                      <w:szCs w:val="2"/>
                    </w:rPr>
                  </w:pPr>
                </w:p>
                <w:p w:rsidR="001A0AE8" w:rsidRDefault="001A0AE8">
                  <w:pPr>
                    <w:tabs>
                      <w:tab w:val="center" w:pos="4153"/>
                      <w:tab w:val="right" w:pos="8306"/>
                    </w:tabs>
                    <w:spacing w:before="40" w:after="40"/>
                    <w:rPr>
                      <w:rFonts w:ascii="Courier New" w:hAnsi="Courier New"/>
                      <w:b/>
                      <w:bCs/>
                      <w:sz w:val="2"/>
                      <w:szCs w:val="2"/>
                      <w:rtl/>
                    </w:rPr>
                  </w:pPr>
                </w:p>
                <w:p w:rsidR="001A0AE8" w:rsidRDefault="001A0AE8">
                  <w:pPr>
                    <w:tabs>
                      <w:tab w:val="center" w:pos="4153"/>
                      <w:tab w:val="right" w:pos="8306"/>
                    </w:tabs>
                    <w:spacing w:before="40" w:after="40"/>
                    <w:rPr>
                      <w:rFonts w:ascii="Courier New" w:hAnsi="Courier New"/>
                      <w:b/>
                      <w:bCs/>
                      <w:sz w:val="2"/>
                      <w:szCs w:val="2"/>
                      <w:rtl/>
                    </w:rPr>
                  </w:pPr>
                </w:p>
                <w:p w:rsidR="001A0AE8" w:rsidRDefault="001A0AE8">
                  <w:pPr>
                    <w:tabs>
                      <w:tab w:val="center" w:pos="4153"/>
                      <w:tab w:val="right" w:pos="8306"/>
                    </w:tabs>
                    <w:spacing w:before="40" w:after="40"/>
                    <w:rPr>
                      <w:rFonts w:ascii="Courier New" w:hAnsi="Courier New"/>
                      <w:b/>
                      <w:bCs/>
                      <w:sz w:val="2"/>
                      <w:szCs w:val="2"/>
                    </w:rPr>
                  </w:pPr>
                </w:p>
                <w:p w:rsidR="001A0AE8" w:rsidRDefault="001A0AE8">
                  <w:pPr>
                    <w:tabs>
                      <w:tab w:val="center" w:pos="4153"/>
                      <w:tab w:val="right" w:pos="8306"/>
                    </w:tabs>
                    <w:spacing w:before="40" w:after="40"/>
                    <w:jc w:val="center"/>
                    <w:rPr>
                      <w:rFonts w:ascii="Courier New" w:hAnsi="Courier New"/>
                      <w:b/>
                      <w:bCs/>
                      <w:sz w:val="2"/>
                      <w:szCs w:val="2"/>
                    </w:rPr>
                  </w:pPr>
                </w:p>
              </w:tc>
            </w:tr>
            <w:tr w:rsidR="001A0AE8">
              <w:tc>
                <w:tcPr>
                  <w:tcW w:w="2392" w:type="dxa"/>
                  <w:tcBorders>
                    <w:top w:val="single" w:sz="4" w:space="0" w:color="auto"/>
                    <w:left w:val="nil"/>
                    <w:bottom w:val="nil"/>
                    <w:right w:val="nil"/>
                  </w:tcBorders>
                  <w:hideMark/>
                </w:tcPr>
                <w:p w:rsidR="001A0AE8" w:rsidRDefault="001A0AE8">
                  <w:pPr>
                    <w:jc w:val="center"/>
                    <w:rPr>
                      <w:b/>
                      <w:bCs/>
                      <w:rtl/>
                    </w:rPr>
                  </w:pPr>
                  <w:r>
                    <w:rPr>
                      <w:b/>
                      <w:bCs/>
                      <w:rtl/>
                    </w:rPr>
                    <w:t>נאוה סירקיס,</w:t>
                  </w:r>
                </w:p>
                <w:p w:rsidR="001A0AE8" w:rsidRDefault="001A0AE8">
                  <w:pPr>
                    <w:keepNext/>
                    <w:keepLines/>
                    <w:tabs>
                      <w:tab w:val="center" w:pos="4153"/>
                      <w:tab w:val="right" w:pos="8306"/>
                    </w:tabs>
                    <w:spacing w:before="40" w:after="40"/>
                    <w:jc w:val="center"/>
                    <w:outlineLvl w:val="2"/>
                    <w:rPr>
                      <w:rFonts w:ascii="Calibri Light" w:hAnsi="Calibri Light"/>
                      <w:b/>
                      <w:bCs/>
                      <w:color w:val="000000"/>
                      <w:sz w:val="28"/>
                    </w:rPr>
                  </w:pPr>
                  <w:r>
                    <w:rPr>
                      <w:b/>
                      <w:bCs/>
                      <w:rtl/>
                    </w:rPr>
                    <w:t>חברת וועדה</w:t>
                  </w:r>
                </w:p>
              </w:tc>
            </w:tr>
          </w:tbl>
          <w:p w:rsidR="001A0AE8" w:rsidRDefault="001A0AE8">
            <w:pPr>
              <w:spacing w:line="360" w:lineRule="auto"/>
              <w:jc w:val="both"/>
              <w:rPr>
                <w:rFonts w:ascii="Arial" w:hAnsi="Arial"/>
                <w:rtl/>
              </w:rPr>
            </w:pPr>
          </w:p>
        </w:tc>
      </w:tr>
    </w:tbl>
    <w:p w:rsidR="001A0AE8" w:rsidRDefault="001A0AE8" w:rsidP="008A7359">
      <w:pPr>
        <w:spacing w:line="360" w:lineRule="auto"/>
        <w:jc w:val="both"/>
        <w:rPr>
          <w:rFonts w:ascii="Arial" w:hAnsi="Arial"/>
          <w:noProof w:val="0"/>
        </w:rPr>
      </w:pPr>
    </w:p>
    <w:sectPr w:rsidR="001A0AE8" w:rsidSect="00903896">
      <w:headerReference w:type="even" r:id="rId13"/>
      <w:headerReference w:type="default" r:id="rId14"/>
      <w:footerReference w:type="even" r:id="rId15"/>
      <w:footerReference w:type="default" r:id="rId16"/>
      <w:headerReference w:type="first" r:id="rId17"/>
      <w:footerReference w:type="first" r:id="rId18"/>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685" w:rsidRDefault="00055685">
      <w:r>
        <w:separator/>
      </w:r>
    </w:p>
  </w:endnote>
  <w:endnote w:type="continuationSeparator" w:id="0">
    <w:p w:rsidR="00055685" w:rsidRDefault="0005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980" w:rsidRDefault="00E6198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6198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61980">
      <w:rPr>
        <w:rStyle w:val="ab"/>
        <w:rtl/>
      </w:rPr>
      <w:t>18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980" w:rsidRDefault="00E6198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685" w:rsidRDefault="00055685">
      <w:r>
        <w:separator/>
      </w:r>
    </w:p>
  </w:footnote>
  <w:footnote w:type="continuationSeparator" w:id="0">
    <w:p w:rsidR="00055685" w:rsidRDefault="00055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980" w:rsidRDefault="00E6198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694556" w:rsidTr="00E67DE3">
      <w:trPr>
        <w:trHeight w:hRule="exact" w:val="845"/>
        <w:jc w:val="center"/>
      </w:trPr>
      <w:tc>
        <w:tcPr>
          <w:tcW w:w="8721" w:type="dxa"/>
          <w:gridSpan w:val="2"/>
        </w:tcPr>
        <w:p w:rsidR="00694556" w:rsidRDefault="00185DB8">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p w:rsidR="00E67DE3" w:rsidRPr="00E67DE3" w:rsidRDefault="00E67DE3">
          <w:pPr>
            <w:pStyle w:val="a3"/>
            <w:jc w:val="center"/>
            <w:rPr>
              <w:rFonts w:ascii="Tahoma" w:hAnsi="Tahoma" w:cs="Tahoma"/>
              <w:b/>
              <w:bCs/>
              <w:noProof w:val="0"/>
              <w:color w:val="000080"/>
              <w:rtl/>
            </w:rPr>
          </w:pPr>
          <w:r w:rsidRPr="00E67DE3">
            <w:rPr>
              <w:rFonts w:ascii="Tahoma" w:hAnsi="Tahoma" w:cs="Tahoma" w:hint="cs"/>
              <w:b/>
              <w:bCs/>
              <w:noProof w:val="0"/>
              <w:color w:val="000080"/>
              <w:rtl/>
            </w:rPr>
            <w:t>בשבתו כוועדת ערר לעניין חוק מיסוי מקרקעין</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607579908"/>
          <w:text/>
        </w:sdtPr>
        <w:sdtEndPr/>
        <w:sdtContent>
          <w:tc>
            <w:tcPr>
              <w:tcW w:w="3674" w:type="dxa"/>
            </w:tcPr>
            <w:p w:rsidR="00694556" w:rsidRDefault="00E86340" w:rsidP="00E86340">
              <w:pPr>
                <w:pStyle w:val="a3"/>
                <w:jc w:val="right"/>
                <w:rPr>
                  <w:b/>
                  <w:bCs/>
                  <w:noProof w:val="0"/>
                  <w:sz w:val="26"/>
                  <w:szCs w:val="26"/>
                  <w:rtl/>
                </w:rPr>
              </w:pPr>
              <w:r>
                <w:rPr>
                  <w:rFonts w:hint="cs"/>
                  <w:b/>
                  <w:bCs/>
                  <w:noProof w:val="0"/>
                  <w:sz w:val="26"/>
                  <w:szCs w:val="26"/>
                  <w:rtl/>
                </w:rPr>
                <w:t>27 יוני 2024</w:t>
              </w:r>
            </w:p>
          </w:tc>
        </w:sdtContent>
      </w:sdt>
    </w:tr>
    <w:tr w:rsidR="00694556">
      <w:trPr>
        <w:trHeight w:val="337"/>
        <w:jc w:val="center"/>
      </w:trPr>
      <w:tc>
        <w:tcPr>
          <w:tcW w:w="8721" w:type="dxa"/>
          <w:gridSpan w:val="2"/>
        </w:tcPr>
        <w:p w:rsidR="00992A36" w:rsidRPr="00E67DE3" w:rsidRDefault="00986101" w:rsidP="00E67DE3">
          <w:pPr>
            <w:rPr>
              <w:b/>
              <w:bCs/>
              <w:noProof w:val="0"/>
              <w:sz w:val="26"/>
              <w:szCs w:val="26"/>
              <w:rtl/>
            </w:rPr>
          </w:pPr>
          <w:r>
            <w:rPr>
              <w:b/>
              <w:bCs/>
              <w:noProof w:val="0"/>
              <w:sz w:val="26"/>
              <w:szCs w:val="26"/>
              <w:rtl/>
            </w:rPr>
            <w:t>ו"ע</w:t>
          </w:r>
          <w:r w:rsidR="00005C8B">
            <w:rPr>
              <w:b/>
              <w:bCs/>
              <w:noProof w:val="0"/>
              <w:sz w:val="26"/>
              <w:szCs w:val="26"/>
              <w:rtl/>
            </w:rPr>
            <w:t xml:space="preserve"> </w:t>
          </w:r>
          <w:bookmarkStart w:id="0" w:name="_GoBack"/>
          <w:r>
            <w:rPr>
              <w:b/>
              <w:bCs/>
              <w:noProof w:val="0"/>
              <w:sz w:val="26"/>
              <w:szCs w:val="26"/>
              <w:rtl/>
            </w:rPr>
            <w:t>31738-10-20</w:t>
          </w:r>
          <w:r w:rsidR="00005C8B">
            <w:rPr>
              <w:b/>
              <w:bCs/>
              <w:noProof w:val="0"/>
              <w:sz w:val="26"/>
              <w:szCs w:val="26"/>
              <w:rtl/>
            </w:rPr>
            <w:t xml:space="preserve"> </w:t>
          </w:r>
          <w:bookmarkEnd w:id="0"/>
          <w:r>
            <w:rPr>
              <w:b/>
              <w:bCs/>
              <w:noProof w:val="0"/>
              <w:sz w:val="26"/>
              <w:szCs w:val="26"/>
              <w:rtl/>
            </w:rPr>
            <w:t xml:space="preserve">אבו אלהוא ואח' נ' </w:t>
          </w:r>
          <w:r w:rsidR="00E67DE3">
            <w:rPr>
              <w:rFonts w:hint="cs"/>
              <w:b/>
              <w:bCs/>
              <w:noProof w:val="0"/>
              <w:sz w:val="26"/>
              <w:szCs w:val="26"/>
              <w:rtl/>
            </w:rPr>
            <w:t xml:space="preserve">מנהל </w:t>
          </w:r>
          <w:r>
            <w:rPr>
              <w:b/>
              <w:bCs/>
              <w:noProof w:val="0"/>
              <w:sz w:val="26"/>
              <w:szCs w:val="26"/>
              <w:rtl/>
            </w:rPr>
            <w:t>מיסוי מקרקעין</w:t>
          </w:r>
          <w:r w:rsidR="00E67DE3">
            <w:rPr>
              <w:rFonts w:hint="cs"/>
              <w:b/>
              <w:bCs/>
              <w:noProof w:val="0"/>
              <w:sz w:val="26"/>
              <w:szCs w:val="26"/>
              <w:rtl/>
            </w:rPr>
            <w:t xml:space="preserve"> ירושלים</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980" w:rsidRDefault="00E6198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EB4780"/>
    <w:multiLevelType w:val="hybridMultilevel"/>
    <w:tmpl w:val="24C29FA4"/>
    <w:lvl w:ilvl="0" w:tplc="CF14E8E2">
      <w:start w:val="1"/>
      <w:numFmt w:val="decimal"/>
      <w:lvlText w:val="%1."/>
      <w:lvlJc w:val="left"/>
      <w:pPr>
        <w:ind w:left="720" w:hanging="360"/>
      </w:pPr>
      <w:rPr>
        <w:b w:val="0"/>
        <w:bCs w:val="0"/>
      </w:rPr>
    </w:lvl>
    <w:lvl w:ilvl="1" w:tplc="907AFD28">
      <w:start w:val="1"/>
      <w:numFmt w:val="lowerLetter"/>
      <w:lvlText w:val="%2."/>
      <w:lvlJc w:val="left"/>
      <w:pPr>
        <w:ind w:left="1440" w:hanging="360"/>
      </w:pPr>
    </w:lvl>
    <w:lvl w:ilvl="2" w:tplc="880462F4">
      <w:start w:val="1"/>
      <w:numFmt w:val="lowerRoman"/>
      <w:lvlText w:val="%3."/>
      <w:lvlJc w:val="right"/>
      <w:pPr>
        <w:ind w:left="2160" w:hanging="180"/>
      </w:pPr>
    </w:lvl>
    <w:lvl w:ilvl="3" w:tplc="9154A8DC">
      <w:start w:val="1"/>
      <w:numFmt w:val="decimal"/>
      <w:lvlText w:val="%4."/>
      <w:lvlJc w:val="left"/>
      <w:pPr>
        <w:ind w:left="2880" w:hanging="360"/>
      </w:pPr>
    </w:lvl>
    <w:lvl w:ilvl="4" w:tplc="92DC929A">
      <w:start w:val="1"/>
      <w:numFmt w:val="lowerLetter"/>
      <w:lvlText w:val="%5."/>
      <w:lvlJc w:val="left"/>
      <w:pPr>
        <w:ind w:left="3600" w:hanging="360"/>
      </w:pPr>
    </w:lvl>
    <w:lvl w:ilvl="5" w:tplc="9CC25758">
      <w:start w:val="1"/>
      <w:numFmt w:val="lowerRoman"/>
      <w:lvlText w:val="%6."/>
      <w:lvlJc w:val="right"/>
      <w:pPr>
        <w:ind w:left="4320" w:hanging="180"/>
      </w:pPr>
    </w:lvl>
    <w:lvl w:ilvl="6" w:tplc="350EC2DC">
      <w:start w:val="1"/>
      <w:numFmt w:val="decimal"/>
      <w:lvlText w:val="%7."/>
      <w:lvlJc w:val="left"/>
      <w:pPr>
        <w:ind w:left="5040" w:hanging="360"/>
      </w:pPr>
    </w:lvl>
    <w:lvl w:ilvl="7" w:tplc="20DAD4D8">
      <w:start w:val="1"/>
      <w:numFmt w:val="lowerLetter"/>
      <w:lvlText w:val="%8."/>
      <w:lvlJc w:val="left"/>
      <w:pPr>
        <w:ind w:left="5760" w:hanging="360"/>
      </w:pPr>
    </w:lvl>
    <w:lvl w:ilvl="8" w:tplc="EE16764C">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78909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789099&amp;lt;/CaseID&amp;gt;_x000d__x000a_        &amp;lt;CaseMonth&amp;gt;10&amp;lt;/CaseMonth&amp;gt;_x000d__x000a_        &amp;lt;CaseYear&amp;gt;2020&amp;lt;/CaseYear&amp;gt;_x000d__x000a_        &amp;lt;CaseNumber&amp;gt;31738&amp;lt;/CaseNumber&amp;gt;_x000d__x000a_        &amp;lt;NumeratorGroupID&amp;gt;1&amp;lt;/NumeratorGroupID&amp;gt;_x000d__x000a_        &amp;lt;CaseName&amp;gt;אבו אלהוא ואח&amp;#39; נ&amp;#39; אגף מס הכנסה ומיסוי מקרקעין - חקירות מרכז מדור תביעות&amp;lt;/CaseName&amp;gt;_x000d__x000a_        &amp;lt;CourtID&amp;gt;14&amp;lt;/CourtID&amp;gt;_x000d__x000a_        &amp;lt;CaseTypeID&amp;gt;14&amp;lt;/CaseTypeID&amp;gt;_x000d__x000a_        &amp;lt;CaseInterestID&amp;gt;28&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31738-10-20&amp;lt;/CaseDisplayIdentifier&amp;gt;_x000d__x000a_        &amp;lt;CaseTypeDesc&amp;gt;ו&amp;quot;ע&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10-18T13:08:00+03:00&amp;lt;/CaseOpenDate&amp;gt;_x000d__x000a_        &amp;lt;PleaTypeID&amp;gt;18&amp;lt;/PleaTypeID&amp;gt;_x000d__x000a_        &amp;lt;CourtLevelID&amp;gt;2&amp;lt;/CourtLevelID&amp;gt;_x000d__x000a_        &amp;lt;CourtLevelCaseTypeInterestID&amp;gt;1151&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ארו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789099&amp;lt;/CaseID&amp;gt;_x000d__x000a_        &amp;lt;CaseMonth&amp;gt;10&amp;lt;/CaseMonth&amp;gt;_x000d__x000a_        &amp;lt;CaseYear&amp;gt;2020&amp;lt;/CaseYear&amp;gt;_x000d__x000a_        &amp;lt;CaseNumber&amp;gt;31738&amp;lt;/CaseNumber&amp;gt;_x000d__x000a_        &amp;lt;NumeratorGroupID&amp;gt;1&amp;lt;/NumeratorGroupID&amp;gt;_x000d__x000a_        &amp;lt;CaseName&amp;gt;אבו אלהוא ואח&amp;#39; נ&amp;#39; אגף מס הכנסה ומיסוי מקרקעין - חקירות מרכז מדור תביעות&amp;lt;/CaseName&amp;gt;_x000d__x000a_        &amp;lt;CourtID&amp;gt;14&amp;lt;/CourtID&amp;gt;_x000d__x000a_        &amp;lt;CaseTypeID&amp;gt;14&amp;lt;/CaseTypeID&amp;gt;_x000d__x000a_        &amp;lt;CaseInterestID&amp;gt;28&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31738-10-20&amp;lt;/CaseDisplayIdentifier&amp;gt;_x000d__x000a_        &amp;lt;CaseTypeDesc&amp;gt;ו&amp;quot;ע&amp;lt;/CaseTypeDesc&amp;gt;_x000d__x000a_        &amp;lt;CourtDesc&amp;gt;המחוזי ירושלים&amp;lt;/CourtDesc&amp;gt;_x000d__x000a_        &amp;lt;CaseStageDesc&amp;gt;תיק אלקטרוני&amp;lt;/CaseStageDesc&amp;gt;_x000d__x000a_        &amp;lt;CaseNextDeterminingTask&amp;gt;34&amp;lt;/CaseNextDeterminingTask&amp;gt;_x000d__x000a_        &amp;lt;CaseOpenDate&amp;gt;2020-10-18T13:08:00+03:00&amp;lt;/CaseOpenDate&amp;gt;_x000d__x000a_        &amp;lt;PleaTypeID&amp;gt;18&amp;lt;/PleaTypeID&amp;gt;_x000d__x000a_        &amp;lt;CourtLevelID&amp;gt;2&amp;lt;/CourtLevelID&amp;gt;_x000d__x000a_        &amp;lt;CourtLevelCaseTypeInterestID&amp;gt;1151&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אר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385907&amp;lt;/DecisionID&amp;gt;_x000d__x000a_        &amp;lt;DecisionName&amp;gt;פסק דין  שניתנה ע&amp;quot;י  אביגדור דורות&amp;lt;/DecisionName&amp;gt;_x000d__x000a_        &amp;lt;DecisionStatusID&amp;gt;1&amp;lt;/DecisionStatusID&amp;gt;_x000d__x000a_        &amp;lt;DecisionStatusChangeDate&amp;gt;2024-06-27T10:07:25.71+03:00&amp;lt;/DecisionStatusChangeDate&amp;gt;_x000d__x000a_        &amp;lt;DecisionSignatureDate&amp;gt;2024-06-23T09:31:35.647+03:00&amp;lt;/DecisionSignatureDate&amp;gt;_x000d__x000a_        &amp;lt;DecisionSignatureUserID&amp;gt;055121115@GOV.IL&amp;lt;/DecisionSignatureUserID&amp;gt;_x000d__x000a_        &amp;lt;DecisionCreateDate&amp;gt;2024-06-23T09:33:32.05+03:00&amp;lt;/DecisionCreateDate&amp;gt;_x000d__x000a_        &amp;lt;DecisionChangeDate&amp;gt;2024-06-27T10:07:25.887+03:00&amp;lt;/DecisionChangeDate&amp;gt;_x000d__x000a_        &amp;lt;DecisionChangeUserID&amp;gt;05976784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6534848&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4909128@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2385907&amp;lt;/DecisionID&amp;gt;_x000d__x000a_        &amp;lt;CaseID&amp;gt;77789099&amp;lt;/CaseID&amp;gt;_x000d__x000a_        &amp;lt;IsOriginal&amp;gt;true&amp;lt;/IsOriginal&amp;gt;_x000d__x000a_        &amp;lt;IsDeleted&amp;gt;false&amp;lt;/IsDeleted&amp;gt;_x000d__x000a_        &amp;lt;CaseName&amp;gt;אבו אלהוא ואח&amp;#39; נ&amp;#39; אגף מס הכנסה ומיסוי מקרקעין - חקירות מרכז מדור תביעות&amp;lt;/CaseName&amp;gt;_x000d__x000a_        &amp;lt;CaseDisplayIdentifier&amp;gt;31738-10-20 ו&amp;quot;ע&amp;lt;/CaseDisplayIdentifier&amp;gt;_x000d__x000a_      &amp;lt;/dt_DecisionCase&amp;gt;_x000d__x000a_    &amp;lt;/DecisionDS&amp;gt;_x000d__x000a_  &amp;lt;/diffgr:diffgram&amp;gt;_x000d__x000a_&amp;lt;/DecisionDS&amp;gt;"/>
    <w:docVar w:name="DecisionID" w:val="152385907"/>
    <w:docVar w:name="WordClientAssemblyName" w:val="NGCS.Decision.ClientWordBL"/>
    <w:docVar w:name="WordClientClassName" w:val="NGCS.Decision.ClientWordBL.DecisionClient"/>
  </w:docVars>
  <w:rsids>
    <w:rsidRoot w:val="00694556"/>
    <w:rsid w:val="00005C8B"/>
    <w:rsid w:val="00010424"/>
    <w:rsid w:val="00016C35"/>
    <w:rsid w:val="00055685"/>
    <w:rsid w:val="000564AB"/>
    <w:rsid w:val="0005774A"/>
    <w:rsid w:val="00060C9D"/>
    <w:rsid w:val="00124EEF"/>
    <w:rsid w:val="0014234E"/>
    <w:rsid w:val="00185DB8"/>
    <w:rsid w:val="001A0AE8"/>
    <w:rsid w:val="001C4003"/>
    <w:rsid w:val="001C5BF5"/>
    <w:rsid w:val="002125C8"/>
    <w:rsid w:val="00215605"/>
    <w:rsid w:val="0027098D"/>
    <w:rsid w:val="002C070D"/>
    <w:rsid w:val="003944DB"/>
    <w:rsid w:val="003B7C52"/>
    <w:rsid w:val="004328CD"/>
    <w:rsid w:val="004E6E3C"/>
    <w:rsid w:val="00547DB7"/>
    <w:rsid w:val="005964E5"/>
    <w:rsid w:val="00622BAA"/>
    <w:rsid w:val="00625C89"/>
    <w:rsid w:val="006429F9"/>
    <w:rsid w:val="00671BD5"/>
    <w:rsid w:val="006805C1"/>
    <w:rsid w:val="00694556"/>
    <w:rsid w:val="006A0B2D"/>
    <w:rsid w:val="006B23BF"/>
    <w:rsid w:val="006E1A53"/>
    <w:rsid w:val="00702B51"/>
    <w:rsid w:val="007056AA"/>
    <w:rsid w:val="00741E38"/>
    <w:rsid w:val="007A24FE"/>
    <w:rsid w:val="00805A87"/>
    <w:rsid w:val="00820005"/>
    <w:rsid w:val="00846D27"/>
    <w:rsid w:val="00860F1E"/>
    <w:rsid w:val="008A2EC0"/>
    <w:rsid w:val="008A7359"/>
    <w:rsid w:val="00903896"/>
    <w:rsid w:val="00910591"/>
    <w:rsid w:val="009370DC"/>
    <w:rsid w:val="009652F5"/>
    <w:rsid w:val="00986101"/>
    <w:rsid w:val="00992A36"/>
    <w:rsid w:val="009E6661"/>
    <w:rsid w:val="00A75C81"/>
    <w:rsid w:val="00AF1ED6"/>
    <w:rsid w:val="00B237CD"/>
    <w:rsid w:val="00B80CBD"/>
    <w:rsid w:val="00BC1DBA"/>
    <w:rsid w:val="00C20DDF"/>
    <w:rsid w:val="00C51449"/>
    <w:rsid w:val="00C84B52"/>
    <w:rsid w:val="00D02335"/>
    <w:rsid w:val="00D167ED"/>
    <w:rsid w:val="00D44508"/>
    <w:rsid w:val="00D53924"/>
    <w:rsid w:val="00D65B30"/>
    <w:rsid w:val="00D96D8C"/>
    <w:rsid w:val="00E532C2"/>
    <w:rsid w:val="00E54642"/>
    <w:rsid w:val="00E575FB"/>
    <w:rsid w:val="00E61980"/>
    <w:rsid w:val="00E67DE3"/>
    <w:rsid w:val="00E86340"/>
    <w:rsid w:val="00E97908"/>
    <w:rsid w:val="00F20468"/>
    <w:rsid w:val="00F5363A"/>
    <w:rsid w:val="00F64BC8"/>
    <w:rsid w:val="00F8152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4456902-C31B-415E-B336-9E5B86DAE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86101"/>
    <w:rPr>
      <w:color w:val="808080"/>
    </w:rPr>
  </w:style>
  <w:style w:type="paragraph" w:styleId="NormalWeb">
    <w:name w:val="Normal (Web)"/>
    <w:basedOn w:val="a"/>
    <w:uiPriority w:val="99"/>
    <w:semiHidden/>
    <w:unhideWhenUsed/>
    <w:rsid w:val="0005774A"/>
    <w:pPr>
      <w:bidi w:val="0"/>
      <w:spacing w:before="100" w:beforeAutospacing="1" w:after="100" w:afterAutospacing="1"/>
    </w:pPr>
    <w:rPr>
      <w:rFonts w:cs="Times New Roman"/>
      <w:noProof w:val="0"/>
    </w:rPr>
  </w:style>
  <w:style w:type="paragraph" w:styleId="ad">
    <w:name w:val="List Paragraph"/>
    <w:basedOn w:val="a"/>
    <w:uiPriority w:val="34"/>
    <w:qFormat/>
    <w:rsid w:val="000577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904254">
      <w:bodyDiv w:val="1"/>
      <w:marLeft w:val="0"/>
      <w:marRight w:val="0"/>
      <w:marTop w:val="0"/>
      <w:marBottom w:val="0"/>
      <w:divBdr>
        <w:top w:val="none" w:sz="0" w:space="0" w:color="auto"/>
        <w:left w:val="none" w:sz="0" w:space="0" w:color="auto"/>
        <w:bottom w:val="none" w:sz="0" w:space="0" w:color="auto"/>
        <w:right w:val="none" w:sz="0" w:space="0" w:color="auto"/>
      </w:divBdr>
    </w:div>
    <w:div w:id="492526797">
      <w:bodyDiv w:val="1"/>
      <w:marLeft w:val="0"/>
      <w:marRight w:val="0"/>
      <w:marTop w:val="0"/>
      <w:marBottom w:val="0"/>
      <w:divBdr>
        <w:top w:val="none" w:sz="0" w:space="0" w:color="auto"/>
        <w:left w:val="none" w:sz="0" w:space="0" w:color="auto"/>
        <w:bottom w:val="none" w:sz="0" w:space="0" w:color="auto"/>
        <w:right w:val="none" w:sz="0" w:space="0" w:color="auto"/>
      </w:divBdr>
    </w:div>
    <w:div w:id="594363948">
      <w:bodyDiv w:val="1"/>
      <w:marLeft w:val="0"/>
      <w:marRight w:val="0"/>
      <w:marTop w:val="0"/>
      <w:marBottom w:val="0"/>
      <w:divBdr>
        <w:top w:val="none" w:sz="0" w:space="0" w:color="auto"/>
        <w:left w:val="none" w:sz="0" w:space="0" w:color="auto"/>
        <w:bottom w:val="none" w:sz="0" w:space="0" w:color="auto"/>
        <w:right w:val="none" w:sz="0" w:space="0" w:color="auto"/>
      </w:divBdr>
    </w:div>
    <w:div w:id="97729515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77789099</CaseID>
    <CaseJudicialPersonPresentationDS>
      <CaseJudicalPersonActive>
        <CaseID>77789099</CaseID>
        <JudicialPersonID>055121115@GOV.IL</JudicialPersonID>
        <JudicialPersonTypeID>1</JudicialPersonTypeID>
        <JudicialTypeID>1</JudicialTypeID>
        <IsChairman>false</IsChairman>
        <TreatmentStartDate>2020-10-18T15:38:53.217+03:00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בא כוח</PartyTypeName>
        <ProceedingType>כתב טענות עיקרי</ProceedingType>
        <PleaName>כתב ערר</PleaName>
        <PartyBelonging> - </PartyBelonging>
        <RoleName>בא כוח עוררים</RoleName>
        <IsSubProceeding>FALSE</IsSubProceeding>
        <FullName>סלי אילון</FullName>
        <FirstName>סלי</FirstName>
        <LastName>אילון</LastName>
        <PartyPropertyName/>
        <AuthenticationTypeAndNumber>מ.ר. 81653</AuthenticationTypeAndNumber>
        <RepresentatedOrRepresentativesNames> פרוגרסיב וויזון אינטרנשיונל</RepresentatedOrRepresentativesNames>
        <RepresentatedOrRepresentativesCount>1</RepresentatedOrRepresentativesCount>
        <InvitedBy/>
        <CaseID>77789099</CaseID>
        <CaseJudicialPersonPresentationDS>
          <CaseJudicalPersonActive>
            <CaseID>77789099</CaseID>
            <JudicialPersonID>055121115@GOV.IL</JudicialPersonID>
            <JudicialPersonTypeID>1</JudicialPersonTypeID>
            <JudicialTypeID>1</JudicialTypeID>
            <IsChairman>false</IsChairman>
            <TreatmentStartDate>2020-10-18T15:38:53.217+03:00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222866661</CasePartyID>
        <PartyTypeID>2</PartyTypeID>
        <ActivityStatusID>1</ActivityStatusID>
        <PartyAliasID>35</PartyAliasID>
        <PartyAliasName>בא כוח עוררים</PartyAliasName>
        <LegalEntityID>79313026</LegalEntityID>
        <CaseLegalEntityID>114259926</CaseLegalEntityID>
        <AuthenticationTypeID>4</AuthenticationTypeID>
        <AuthenticationTypeName>מ.ר.</AuthenticationTypeName>
        <LegalEntityNumber>81653</LegalEntityNumber>
        <IsMainPartyType>true</IsMainPartyType>
        <CaseDisplayIdentifier>31738-10-20</CaseDisplayIdentifier>
        <CaseTypeID>14</CaseTypeID>
        <CaseTypeName>ועדת ערר (ו"ע)</CaseTypeName>
        <CaseName>אבו אלהוא ואח' נ' אגף מס הכנסה ומיסוי מקרקעין - חקירות מרכז מדור תביעות</CaseName>
        <FullAddress>הרטום 16, ת.ד. 45225 ירושלים </FullAddress>
        <EmailAddress>sali@salieilon.co.il</EmailAddress>
        <MotionID>0</MotionID>
        <CasePleaID>0</CasePleaID>
        <LinkedCaseID>0</LinkedCaseID>
        <PartyID>1</PartyID>
        <CasePartyCategoryID>2</CasePartyCategoryID>
        <LegalEntityAddressID>84459762</LegalEntityAddressID>
        <LegalEntityEmailAddressID>68093474</LegalEntityEmailAddressID>
        <PleaTypeID>18</PleaTypeID>
        <LawyerOfficeName>משרד עו"ד סלי אילון</LawyerOfficeName>
        <LawyerOfficeID>79313027</LawyerOfficeID>
        <GroupPartyAlias/>
        <IsConverted>false</IsConverted>
        <LegalEntityNameID>90391905</LegalEntityNameID>
        <RepresentatedNamesOfAssistant/>
        <LegalEntityTypeID>4</LegalEntityTypeID>
        <IsVerdictExists>false</IsVerdictExists>
        <IsAsirAzir>false</IsAsirAzir>
        <IsPublicationProhibited>false</IsPublicationProhibited>
        <PublicationProhibitedFullName>סלי אילון</PublicationProhibitedFullName>
      </CaseParties>
      <CaseParties>
        <PartyTypeName>מסייע</PartyTypeName>
        <ProceedingType>כתב טענות עיקרי</ProceedingType>
        <PleaName>כתב ערר</PleaName>
        <PartyBelonging> - </PartyBelonging>
        <RoleName>נציג ציבור - ועדות ערר</RoleName>
        <IsSubProceeding>FALSE</IsSubProceeding>
        <FullName>גבע בלטר</FullName>
        <FirstName>גבע</FirstName>
        <LastName>בלטר</LastName>
        <PartyPropertyName/>
        <AuthenticationTypeAndNumber>חבר ועדה 273</AuthenticationTypeAndNumber>
        <RepresentatedOrRepresentativesNames/>
        <RepresentatedOrRepresentativesCount>0</RepresentatedOrRepresentativesCount>
        <InvitedBy/>
        <CaseID>77789099</CaseID>
        <CaseJudicialPersonPresentationDS>
          <CaseJudicalPersonActive>
            <CaseID>77789099</CaseID>
            <JudicialPersonID>055121115@GOV.IL</JudicialPersonID>
            <JudicialPersonTypeID>1</JudicialPersonTypeID>
            <JudicialTypeID>1</JudicialTypeID>
            <IsChairman>false</IsChairman>
            <TreatmentStartDate>2020-10-18T15:38:53.217+03:00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242747572</CasePartyID>
        <PartyTypeID>3</PartyTypeID>
        <ActivityStatusID>1</ActivityStatusID>
        <LegalEntityID>79441557</LegalEntityID>
        <CaseLegalEntityID>120296032</CaseLegalEntityID>
        <AssistantRoleID>112</AssistantRoleID>
        <AuthenticationTypeID>39</AuthenticationTypeID>
        <AuthenticationTypeName>חבר ועדה</AuthenticationTypeName>
        <LegalEntityNumber>273</LegalEntityNumber>
        <IsMainPartyType>true</IsMainPartyType>
        <CaseDisplayIdentifier>31738-10-20</CaseDisplayIdentifier>
        <CaseTypeID>14</CaseTypeID>
        <CaseTypeName>ועדת ערר (ו"ע)</CaseTypeName>
        <CaseName>אבו אלהוא ואח' נ' אגף מס הכנסה ומיסוי מקרקעין - חקירות מרכז מדור תביעות</CaseName>
        <FullAddress>. תל אביב -יפו </FullAddress>
        <EmailAddress>geva@gbalter.com</EmailAddress>
        <MotionID>0</MotionID>
        <CasePleaID>0</CasePleaID>
        <BirthDate>1955-01-01T00:00:00+02:00</BirthDate>
        <FatherName>ויקטור חיים</FatherName>
        <LinkedCaseID>0</LinkedCaseID>
        <PartyID>1</PartyID>
        <CasePartyCategoryID>2</CasePartyCategoryID>
        <LegalEntityAddressID>84671503</LegalEntityAddressID>
        <LegalEntityEmailAddressID>68097776</LegalEntityEmailAddressID>
        <PleaTypeID>18</PleaTypeID>
        <GroupPartyAlias/>
        <IsConverted>false</IsConverted>
        <LegalEntityNameID>90678448</LegalEntityNameID>
        <RepresentatedNamesOfAssistant/>
        <LegalEntityTypeID>10</LegalEntityTypeID>
        <IsVerdictExists>false</IsVerdictExists>
        <IsAsirAzir>false</IsAsirAzir>
        <IsPublicationProhibited>false</IsPublicationProhibited>
        <PublicationProhibitedFullName>גבע בלטר</PublicationProhibitedFullName>
      </CaseParties>
      <CaseParties>
        <PartyTypeName>מסייע</PartyTypeName>
        <ProceedingType>כתב טענות עיקרי</ProceedingType>
        <PleaName>כתב ערר</PleaName>
        <PartyBelonging> - </PartyBelonging>
        <RoleName>נציג ציבור - ועדות ערר</RoleName>
        <IsSubProceeding>FALSE</IsSubProceeding>
        <FullName>נאוה רבקה סירקיס</FullName>
        <FirstName>נאוה רבקה</FirstName>
        <LastName>סירקיס</LastName>
        <PartyPropertyName/>
        <AuthenticationTypeAndNumber>ת"ז 051024479</AuthenticationTypeAndNumber>
        <RepresentatedOrRepresentativesNames/>
        <RepresentatedOrRepresentativesCount>0</RepresentatedOrRepresentativesCount>
        <InvitedBy/>
        <CaseID>77789099</CaseID>
        <CaseJudicialPersonPresentationDS>
          <CaseJudicalPersonActive>
            <CaseID>77789099</CaseID>
            <JudicialPersonID>055121115@GOV.IL</JudicialPersonID>
            <JudicialPersonTypeID>1</JudicialPersonTypeID>
            <JudicialTypeID>1</JudicialTypeID>
            <IsChairman>false</IsChairman>
            <TreatmentStartDate>2020-10-18T15:38:53.217+03:00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242747621</CasePartyID>
        <PartyTypeID>3</PartyTypeID>
        <ActivityStatusID>1</ActivityStatusID>
        <LegalEntityID>46284734</LegalEntityID>
        <CaseLegalEntityID>120296042</CaseLegalEntityID>
        <AssistantRoleID>112</AssistantRoleID>
        <AuthenticationTypeID>1</AuthenticationTypeID>
        <AuthenticationTypeName>ת"ז</AuthenticationTypeName>
        <LegalEntityNumber>051024479</LegalEntityNumber>
        <IsMainPartyType>true</IsMainPartyType>
        <CaseDisplayIdentifier>31738-10-20</CaseDisplayIdentifier>
        <CaseTypeID>14</CaseTypeID>
        <CaseTypeName>ועדת ערר (ו"ע)</CaseTypeName>
        <CaseName>אבו אלהוא ואח' נ' אגף מס הכנסה ומיסוי מקרקעין - חקירות מרכז מדור תביעות</CaseName>
        <FullAddress>החי"ם 10 ירושלים </FullAddress>
        <EmailAddress>navasir@bezeqint.net</EmailAddress>
        <MotionID>0</MotionID>
        <CasePleaID>0</CasePleaID>
        <FatherName>ישראל</FatherName>
        <LinkedCaseID>0</LinkedCaseID>
        <PartyID>1</PartyID>
        <CasePartyCategoryID>2</CasePartyCategoryID>
        <LegalEntityAddressID>86670980</LegalEntityAddressID>
        <LegalEntityEmailAddressID>68190884</LegalEntityEmailAddressID>
        <PleaTypeID>18</PleaTypeID>
        <GroupPartyAlias/>
        <IsConverted>false</IsConverted>
        <LegalEntityRegisteredNameID>9601571</LegalEntityRegisteredNameID>
        <LegalEntityNameID>93309835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נאוה רבקה סירקיס</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אסף עזריאל</FullName>
        <FirstName>אסף</FirstName>
        <LastName>עזריאל</LastName>
        <PartyPropertyName/>
        <AuthenticationTypeAndNumber>מ.ר. 61208</AuthenticationTypeAndNumber>
        <RepresentatedOrRepresentativesNames>אחמד אבו אלהוא,  פרוגרסיב וויזון אינטרנשיונל</RepresentatedOrRepresentativesNames>
        <RepresentatedOrRepresentativesCount>2</RepresentatedOrRepresentativesCount>
        <InvitedBy/>
        <CaseID>77789099</CaseID>
        <CaseJudicialPersonPresentationDS>
          <CaseJudicalPersonActive>
            <CaseID>77789099</CaseID>
            <JudicialPersonID>055121115@GOV.IL</JudicialPersonID>
            <JudicialPersonTypeID>1</JudicialPersonTypeID>
            <JudicialTypeID>1</JudicialTypeID>
            <IsChairman>false</IsChairman>
            <TreatmentStartDate>2020-10-18T15:38:53.217+03:00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217492976</CasePartyID>
        <PartyTypeID>2</PartyTypeID>
        <ActivityStatusID>1</ActivityStatusID>
        <PartyAliasID>35</PartyAliasID>
        <PartyAliasName>בא כוח עוררים</PartyAliasName>
        <OrdinalNumber>1</OrdinalNumber>
        <LegalEntityID>71818571</LegalEntityID>
        <CaseLegalEntityID>112697452</CaseLegalEntityID>
        <AuthenticationTypeID>4</AuthenticationTypeID>
        <AuthenticationTypeName>מ.ר.</AuthenticationTypeName>
        <LegalEntityNumber>61208</LegalEntityNumber>
        <IsMainPartyType>true</IsMainPartyType>
        <CaseDisplayIdentifier>31738-10-20</CaseDisplayIdentifier>
        <CaseTypeID>14</CaseTypeID>
        <CaseTypeName>ועדת ערר (ו"ע)</CaseTypeName>
        <CaseName>אבו אלהוא ואח' נ' אגף מס הכנסה ומיסוי מקרקעין - חקירות מרכז מדור תביעות</CaseName>
        <FullAddress>רבי עקיבא 8 ירושלים </FullAddress>
        <EmailAddress>mazkirut@aa-adv.co.il</EmailAddress>
        <MotionID>0</MotionID>
        <CasePleaID>0</CasePleaID>
        <LinkedCaseID>0</LinkedCaseID>
        <PartyID>1</PartyID>
        <CasePartyCategoryID>2</CasePartyCategoryID>
        <LegalEntityAddressID>78536119</LegalEntityAddressID>
        <LegalEntityEmailAddressID>67904251</LegalEntityEmailAddressID>
        <PleaTypeID>18</PleaTypeID>
        <LawyerOfficeName>עזריאל ושות'</LawyerOfficeName>
        <LawyerOfficeID>419389</LawyerOfficeID>
        <GroupPartyAlias/>
        <IsConverted>false</IsConverted>
        <LegalEntityNameID>75270812</LegalEntityNameID>
        <RepresentatedNamesOfAssistant/>
        <LegalEntityTypeID>4</LegalEntityTypeID>
        <IsVerdictExists>false</IsVerdictExists>
        <IsAsirAzir>false</IsAsirAzir>
        <IsPublicationProhibited>false</IsPublicationProhibited>
        <PublicationProhibitedFullName>אסף עזריאל</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אחמד אבו אלהוא</FullName>
        <FirstName>אחמד</FirstName>
        <LastName>אבו אלהוא</LastName>
        <PartyPropertyName/>
        <AuthenticationTypeAndNumber>ת"ז 086054640</AuthenticationTypeAndNumber>
        <RepresentatedOrRepresentativesNames>אסף עזריאל</RepresentatedOrRepresentativesNames>
        <RepresentatedOrRepresentativesCount>1</RepresentatedOrRepresentativesCount>
        <InvitedBy/>
        <CaseID>77789099</CaseID>
        <CaseJudicialPersonPresentationDS>
          <CaseJudicalPersonActive>
            <CaseID>77789099</CaseID>
            <JudicialPersonID>055121115@GOV.IL</JudicialPersonID>
            <JudicialPersonTypeID>1</JudicialPersonTypeID>
            <JudicialTypeID>1</JudicialTypeID>
            <IsChairman>false</IsChairman>
            <TreatmentStartDate>2020-10-18T15:38:53.217+03:00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217492975</CasePartyID>
        <PartyTypeID>1</PartyTypeID>
        <ActivityStatusID>1</ActivityStatusID>
        <PartyAliasID>16</PartyAliasID>
        <PartyAliasName>עורר</PartyAliasName>
        <OrdinalNumber>1</OrdinalNumber>
        <LegalEntityID>71303730</LegalEntityID>
        <CaseLegalEntityID>112697451</CaseLegalEntityID>
        <AuthenticationTypeID>1</AuthenticationTypeID>
        <AuthenticationTypeName>ת"ז</AuthenticationTypeName>
        <LegalEntityNumber>086054640</LegalEntityNumber>
        <IsMainPartyType>true</IsMainPartyType>
        <CaseDisplayIdentifier>31738-10-20</CaseDisplayIdentifier>
        <CaseTypeID>14</CaseTypeID>
        <CaseTypeName>ועדת ערר (ו"ע)</CaseTypeName>
        <CaseName>אבו אלהוא ואח' נ' אגף מס הכנסה ומיסוי מקרקעין - חקירות מרכז מדור תביעות</CaseName>
        <FullAddress>רבי עקיבא 8  כתובת להמצאה</FullAddress>
        <EmailAddress>mazkirut@aa-adv.co.il</EmailAddress>
        <MotionID>0</MotionID>
        <CasePleaID>0</CasePleaID>
        <FatherName>מוחמד</FatherName>
        <LinkedCaseID>0</LinkedCaseID>
        <PartyID>1</PartyID>
        <CasePartyCategoryID>2</CasePartyCategoryID>
        <LegalEntityAddressID>84419638</LegalEntityAddressID>
        <LegalEntityEmailAddressID>68086519</LegalEntityEmailAddressID>
        <PleaTypeID>18</PleaTypeID>
        <GroupPartyAlias>עוררים</GroupPartyAlias>
        <IsConverted>false</IsConverted>
        <LegalEntityRegisteredNameID>9282541</LegalEntityRegisteredNameID>
        <LegalEntityNameID>90336687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אחמד אבו אלהוא</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אגף מס הכנסה ומיסוי מקרקעין - חקירות מרכז מדור תביעות</FullName>
        <LastName>אגף מס הכנסה ומיסוי מקרקעין - חקירות מרכז מדור תביעות</LastName>
        <PartyPropertyName/>
        <AuthenticationTypeAndNumber>משרדי ממשלה 570001623</AuthenticationTypeAndNumber>
        <RepresentatedOrRepresentativesNames>קרן יוסט</RepresentatedOrRepresentativesNames>
        <RepresentatedOrRepresentativesCount>1</RepresentatedOrRepresentativesCount>
        <InvitedBy/>
        <CaseID>77789099</CaseID>
        <CaseJudicialPersonPresentationDS>
          <CaseJudicalPersonActive>
            <CaseID>77789099</CaseID>
            <JudicialPersonID>055121115@GOV.IL</JudicialPersonID>
            <JudicialPersonTypeID>1</JudicialPersonTypeID>
            <JudicialTypeID>1</JudicialTypeID>
            <IsChairman>false</IsChairman>
            <TreatmentStartDate>2020-10-18T15:38:53.217+03:00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217492977</CasePartyID>
        <PartyTypeID>1</PartyTypeID>
        <ActivityStatusID>1</ActivityStatusID>
        <PartyAliasID>4</PartyAliasID>
        <PartyAliasName>משיב</PartyAliasName>
        <OrdinalNumber>1</OrdinalNumber>
        <LegalEntityID>72153077</LegalEntityID>
        <CaseLegalEntityID>112697453</CaseLegalEntityID>
        <AuthenticationTypeID>13</AuthenticationTypeID>
        <AuthenticationTypeName>משרדי ממשלה</AuthenticationTypeName>
        <LegalEntityNumber>570001623</LegalEntityNumber>
        <IsMainPartyType>true</IsMainPartyType>
        <CaseDisplayIdentifier>31738-10-20</CaseDisplayIdentifier>
        <CaseTypeID>14</CaseTypeID>
        <CaseTypeName>ועדת ערר (ו"ע)</CaseTypeName>
        <CaseName>אבו אלהוא ואח' נ' אגף מס הכנסה ומיסוי מקרקעין - חקירות מרכז מדור תביעות</CaseName>
        <FullAddress>הצורף 5 חולון </FullAddress>
        <MotionID>0</MotionID>
        <CasePleaID>0</CasePleaID>
        <LinkedCaseID>0</LinkedCaseID>
        <PartyID>2</PartyID>
        <CasePartyCategoryID>2</CasePartyCategoryID>
        <LegalEntityAddressID>88202205</LegalEntityAddressID>
        <PleaTypeID>18</PleaTypeID>
        <GroupPartyAlias>משיבים</GroupPartyAlias>
        <IsConverted>false</IsConverted>
        <LegalEntityRegisteredNameID>3636393</LegalEntityRegisteredNameID>
        <RepresentatedNamesOfAssistant/>
        <LegalEntityTypeID>3</LegalEntityTypeID>
        <IsVerdictExists>false</IsVerdictExists>
        <IsAsirAzir>false</IsAsirAzir>
        <IsPublicationProhibited>false</IsPublicationProhibited>
        <PublicationProhibitedFullName>אגף מס הכנסה ומיסוי מקרקעין - חקירות מרכז מדור תביעות</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77789099</CaseID>
        <CaseJudicialPersonPresentationDS>
          <CaseJudicalPersonActive>
            <CaseID>77789099</CaseID>
            <JudicialPersonID>055121115@GOV.IL</JudicialPersonID>
            <JudicialPersonTypeID>1</JudicialPersonTypeID>
            <JudicialTypeID>1</JudicialTypeID>
            <IsChairman>false</IsChairman>
            <TreatmentStartDate>2020-10-18T15:38:53.217+03:00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260961832</CasePartyID>
        <PartyTypeID>2</PartyTypeID>
        <ActivityStatusID>1</ActivityStatusID>
        <PartyAliasID>23</PartyAliasID>
        <PartyAliasName>בא כוח משיבים</PartyAliasName>
        <OrdinalNumber>1</OrdinalNumber>
        <LegalEntityID>401563</LegalEntityID>
        <CaseLegalEntityID>126068392</CaseLegalEntityID>
        <AuthenticationTypeID>4</AuthenticationTypeID>
        <AuthenticationTypeName>מ.ר.</AuthenticationTypeName>
        <LegalEntityNumber>23388</LegalEntityNumber>
        <IsMainPartyType>true</IsMainPartyType>
        <CaseDisplayIdentifier>31738-10-20</CaseDisplayIdentifier>
        <CaseTypeID>14</CaseTypeID>
        <CaseTypeName>ועדת ערר (ו"ע)</CaseTypeName>
        <CaseName>אבו אלהוא ואח' נ' אגף מס הכנסה ומיסוי מקרקעין - חקירות מרכז מדור תביעות</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18</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כתב ערר</PleaName>
        <PartyBelonging>צד א'</PartyBelonging>
        <RoleName>עורר 2</RoleName>
        <IsSubProceeding>FALSE</IsSubProceeding>
        <FullName>פרוגרסיב וויזון אינטרנשיונל</FullName>
        <PartyPropertyName/>
        <AuthenticationTypeAndNumber>חברות </AuthenticationTypeAndNumber>
        <RepresentatedOrRepresentativesNames>סלי אילון, אסף עזריאל</RepresentatedOrRepresentativesNames>
        <RepresentatedOrRepresentativesCount>2</RepresentatedOrRepresentativesCount>
        <InvitedBy/>
        <CaseID>77789099</CaseID>
        <CaseJudicialPersonPresentationDS>
          <CaseJudicalPersonActive>
            <CaseID>77789099</CaseID>
            <JudicialPersonID>055121115@GOV.IL</JudicialPersonID>
            <JudicialPersonTypeID>1</JudicialPersonTypeID>
            <JudicialTypeID>1</JudicialTypeID>
            <IsChairman>false</IsChairman>
            <TreatmentStartDate>2020-10-18T15:38:53.217+03:00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217492974</CasePartyID>
        <PartyTypeID>1</PartyTypeID>
        <ActivityStatusID>1</ActivityStatusID>
        <PartyAliasID>16</PartyAliasID>
        <PartyAliasName>עורר</PartyAliasName>
        <OrdinalNumber>2</OrdinalNumber>
        <LegalEntityID>79287551</LegalEntityID>
        <CaseLegalEntityID>112697450</CaseLegalEntityID>
        <AuthenticationTypeID>3</AuthenticationTypeID>
        <AuthenticationTypeName>חברות</AuthenticationTypeName>
        <IsMainPartyType>true</IsMainPartyType>
        <CaseDisplayIdentifier>31738-10-20</CaseDisplayIdentifier>
        <CaseTypeID>14</CaseTypeID>
        <CaseTypeName>ועדת ערר (ו"ע)</CaseTypeName>
        <CaseName>אבו אלהוא ואח' נ' אגף מס הכנסה ומיסוי מקרקעין - חקירות מרכז מדור תביעות</CaseName>
        <FullAddress/>
        <MotionID>0</MotionID>
        <CasePleaID>0</CasePleaID>
        <BirthDate>1955-01-01T00:00:00+02:00</BirthDate>
        <FatherName>ויקטור חיים</FatherName>
        <LinkedCaseID>0</LinkedCaseID>
        <PartyID>1</PartyID>
        <CasePartyCategoryID>2</CasePartyCategoryID>
        <PleaTypeID>18</PleaTypeID>
        <GroupPartyAlias>עוררים</GroupPartyAlias>
        <IsConverted>false</IsConverted>
        <LegalEntityNameID>90336684</LegalEntityNameID>
        <RepresentatedNamesOfAssistant/>
        <LegalEntityTypeID>3</LegalEntityTypeID>
        <IsVerdictExists>false</IsVerdictExists>
        <IsAsirAzir>false</IsAsirAzir>
        <IsPublicationProhibited>false</IsPublicationProhibited>
        <PublicationProhibitedFullName>פרוגרסיב וויזון אינטרנשיונל</PublicationProhibitedFullName>
      </CaseParties>
    </CasePartiesSelectionDS>
    <DecisionName>פסק דין  שניתנה ע"י  אביגדור דורות</DecisionName>
    <CourtDisplayName>בית המשפט המחוזי בירושלים בשבתו כבית-משפט לעניינים מנהליים</CourtDisplayName>
    <IsCaseJudgePanel>false</IsCaseJudgePanel>
    <DecisionSignatureDate>2024-06-23T09:31:35.6474778+03:00</DecisionSignatureDate>
    <OpenCaseDate>2020-10-18T13:08:00+03:00</OpenCaseDate>
    <CaseFeeSum>0.000</CaseFeeSum>
    <DecisionTypeID>2</DecisionTypeID>
    <DecisionSignatureUserName>אביגדור דורות</DecisionSignatureUserName>
    <DecisionSignatureDateHebrew>2024-06-23T09:31:35.6474778+03:00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אבו אלהוא ואח' נ' אגף מס הכנסה ומיסוי מקרקעין - חקירות מרכז מדור תביעות</CaseName>
    <DecisionNumberInCase>12</DecisionNumberInCase>
  </dt_Decision>
  <dt_DecisionCase>
    <DecisionID>0</DecisionID>
    <CaseID>77789099</CaseID>
    <CaseJudicialPersonPresentationDS>
      <CaseJudicalPersonActive>
        <CaseID>77789099</CaseID>
        <JudicialPersonID>055121115@GOV.IL</JudicialPersonID>
        <JudicialPersonTypeID>1</JudicialPersonTypeID>
        <JudicialTypeID>1</JudicialTypeID>
        <IsChairman>false</IsChairman>
        <TreatmentStartDate>2020-10-18T15:38:53.217+03:00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בא כוח</PartyTypeName>
        <ProceedingType>כתב טענות עיקרי</ProceedingType>
        <PleaName>כתב ערר</PleaName>
        <PartyBelonging> - </PartyBelonging>
        <RoleName>בא כוח עוררים</RoleName>
        <IsSubProceeding>FALSE</IsSubProceeding>
        <FullName>סלי אילון</FullName>
        <FirstName>סלי</FirstName>
        <LastName>אילון</LastName>
        <PartyPropertyName/>
        <AuthenticationTypeAndNumber>מ.ר. 81653</AuthenticationTypeAndNumber>
        <RepresentatedOrRepresentativesNames> פרוגרסיב וויזון אינטרנשיונל</RepresentatedOrRepresentativesNames>
        <RepresentatedOrRepresentativesCount>1</RepresentatedOrRepresentativesCount>
        <InvitedBy/>
        <CaseID>77789099</CaseID>
        <CaseJudicialPersonPresentationDS>
          <CaseJudicalPersonActive>
            <CaseID>77789099</CaseID>
            <JudicialPersonID>055121115@GOV.IL</JudicialPersonID>
            <JudicialPersonTypeID>1</JudicialPersonTypeID>
            <JudicialTypeID>1</JudicialTypeID>
            <IsChairman>false</IsChairman>
            <TreatmentStartDate>2020-10-18T15:38:53.217+03:00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222866661</CasePartyID>
        <PartyTypeID>2</PartyTypeID>
        <ActivityStatusID>1</ActivityStatusID>
        <PartyAliasID>35</PartyAliasID>
        <PartyAliasName>בא כוח עוררים</PartyAliasName>
        <LegalEntityID>79313026</LegalEntityID>
        <CaseLegalEntityID>114259926</CaseLegalEntityID>
        <AuthenticationTypeID>4</AuthenticationTypeID>
        <AuthenticationTypeName>מ.ר.</AuthenticationTypeName>
        <LegalEntityNumber>81653</LegalEntityNumber>
        <IsMainPartyType>true</IsMainPartyType>
        <CaseDisplayIdentifier>31738-10-20</CaseDisplayIdentifier>
        <CaseTypeID>14</CaseTypeID>
        <CaseTypeName>ועדת ערר (ו"ע)</CaseTypeName>
        <CaseName>אבו אלהוא ואח' נ' אגף מס הכנסה ומיסוי מקרקעין - חקירות מרכז מדור תביעות</CaseName>
        <FullAddress>הרטום 16, ת.ד. 45225 ירושלים </FullAddress>
        <EmailAddress>sali@salieilon.co.il</EmailAddress>
        <MotionID>0</MotionID>
        <CasePleaID>0</CasePleaID>
        <LinkedCaseID>0</LinkedCaseID>
        <PartyID>1</PartyID>
        <CasePartyCategoryID>2</CasePartyCategoryID>
        <LegalEntityAddressID>84459762</LegalEntityAddressID>
        <LegalEntityEmailAddressID>68093474</LegalEntityEmailAddressID>
        <PleaTypeID>18</PleaTypeID>
        <LawyerOfficeName>משרד עו"ד סלי אילון</LawyerOfficeName>
        <LawyerOfficeID>79313027</LawyerOfficeID>
        <GroupPartyAlias/>
        <IsConverted>false</IsConverted>
        <LegalEntityNameID>90391905</LegalEntityNameID>
        <RepresentatedNamesOfAssistant/>
        <LegalEntityTypeID>4</LegalEntityTypeID>
        <IsVerdictExists>false</IsVerdictExists>
        <IsAsirAzir>false</IsAsirAzir>
        <IsPublicationProhibited>false</IsPublicationProhibited>
        <PublicationProhibitedFullName>סלי אילון</PublicationProhibitedFullName>
      </CaseParties>
      <CaseParties>
        <PartyTypeName>מסייע</PartyTypeName>
        <ProceedingType>כתב טענות עיקרי</ProceedingType>
        <PleaName>כתב ערר</PleaName>
        <PartyBelonging> - </PartyBelonging>
        <RoleName>נציג ציבור - ועדות ערר</RoleName>
        <IsSubProceeding>FALSE</IsSubProceeding>
        <FullName>גבע בלטר</FullName>
        <FirstName>גבע</FirstName>
        <LastName>בלטר</LastName>
        <PartyPropertyName/>
        <AuthenticationTypeAndNumber>חבר ועדה 273</AuthenticationTypeAndNumber>
        <RepresentatedOrRepresentativesNames/>
        <RepresentatedOrRepresentativesCount>0</RepresentatedOrRepresentativesCount>
        <InvitedBy/>
        <CaseID>77789099</CaseID>
        <CaseJudicialPersonPresentationDS>
          <CaseJudicalPersonActive>
            <CaseID>77789099</CaseID>
            <JudicialPersonID>055121115@GOV.IL</JudicialPersonID>
            <JudicialPersonTypeID>1</JudicialPersonTypeID>
            <JudicialTypeID>1</JudicialTypeID>
            <IsChairman>false</IsChairman>
            <TreatmentStartDate>2020-10-18T15:38:53.217+03:00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242747572</CasePartyID>
        <PartyTypeID>3</PartyTypeID>
        <ActivityStatusID>1</ActivityStatusID>
        <LegalEntityID>79441557</LegalEntityID>
        <CaseLegalEntityID>120296032</CaseLegalEntityID>
        <AssistantRoleID>112</AssistantRoleID>
        <AuthenticationTypeID>39</AuthenticationTypeID>
        <AuthenticationTypeName>חבר ועדה</AuthenticationTypeName>
        <LegalEntityNumber>273</LegalEntityNumber>
        <IsMainPartyType>true</IsMainPartyType>
        <CaseDisplayIdentifier>31738-10-20</CaseDisplayIdentifier>
        <CaseTypeID>14</CaseTypeID>
        <CaseTypeName>ועדת ערר (ו"ע)</CaseTypeName>
        <CaseName>אבו אלהוא ואח' נ' אגף מס הכנסה ומיסוי מקרקעין - חקירות מרכז מדור תביעות</CaseName>
        <FullAddress>. תל אביב -יפו </FullAddress>
        <EmailAddress>geva@gbalter.com</EmailAddress>
        <MotionID>0</MotionID>
        <CasePleaID>0</CasePleaID>
        <BirthDate>1955-01-01T00:00:00+02:00</BirthDate>
        <FatherName>ויקטור חיים</FatherName>
        <LinkedCaseID>0</LinkedCaseID>
        <PartyID>1</PartyID>
        <CasePartyCategoryID>2</CasePartyCategoryID>
        <LegalEntityAddressID>84671503</LegalEntityAddressID>
        <LegalEntityEmailAddressID>68097776</LegalEntityEmailAddressID>
        <PleaTypeID>18</PleaTypeID>
        <GroupPartyAlias/>
        <IsConverted>false</IsConverted>
        <LegalEntityNameID>90678448</LegalEntityNameID>
        <RepresentatedNamesOfAssistant/>
        <LegalEntityTypeID>10</LegalEntityTypeID>
        <IsVerdictExists>false</IsVerdictExists>
        <IsAsirAzir>false</IsAsirAzir>
        <IsPublicationProhibited>false</IsPublicationProhibited>
        <PublicationProhibitedFullName>גבע בלטר</PublicationProhibitedFullName>
      </CaseParties>
      <CaseParties>
        <PartyTypeName>מסייע</PartyTypeName>
        <ProceedingType>כתב טענות עיקרי</ProceedingType>
        <PleaName>כתב ערר</PleaName>
        <PartyBelonging> - </PartyBelonging>
        <RoleName>נציג ציבור - ועדות ערר</RoleName>
        <IsSubProceeding>FALSE</IsSubProceeding>
        <FullName>נאוה רבקה סירקיס</FullName>
        <FirstName>נאוה רבקה</FirstName>
        <LastName>סירקיס</LastName>
        <PartyPropertyName/>
        <AuthenticationTypeAndNumber>ת"ז 051024479</AuthenticationTypeAndNumber>
        <RepresentatedOrRepresentativesNames/>
        <RepresentatedOrRepresentativesCount>0</RepresentatedOrRepresentativesCount>
        <InvitedBy/>
        <CaseID>77789099</CaseID>
        <CaseJudicialPersonPresentationDS>
          <CaseJudicalPersonActive>
            <CaseID>77789099</CaseID>
            <JudicialPersonID>055121115@GOV.IL</JudicialPersonID>
            <JudicialPersonTypeID>1</JudicialPersonTypeID>
            <JudicialTypeID>1</JudicialTypeID>
            <IsChairman>false</IsChairman>
            <TreatmentStartDate>2020-10-18T15:38:53.217+03:00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242747621</CasePartyID>
        <PartyTypeID>3</PartyTypeID>
        <ActivityStatusID>1</ActivityStatusID>
        <LegalEntityID>46284734</LegalEntityID>
        <CaseLegalEntityID>120296042</CaseLegalEntityID>
        <AssistantRoleID>112</AssistantRoleID>
        <AuthenticationTypeID>1</AuthenticationTypeID>
        <AuthenticationTypeName>ת"ז</AuthenticationTypeName>
        <LegalEntityNumber>051024479</LegalEntityNumber>
        <IsMainPartyType>true</IsMainPartyType>
        <CaseDisplayIdentifier>31738-10-20</CaseDisplayIdentifier>
        <CaseTypeID>14</CaseTypeID>
        <CaseTypeName>ועדת ערר (ו"ע)</CaseTypeName>
        <CaseName>אבו אלהוא ואח' נ' אגף מס הכנסה ומיסוי מקרקעין - חקירות מרכז מדור תביעות</CaseName>
        <FullAddress>החי"ם 10 ירושלים </FullAddress>
        <EmailAddress>navasir@bezeqint.net</EmailAddress>
        <MotionID>0</MotionID>
        <CasePleaID>0</CasePleaID>
        <FatherName>ישראל</FatherName>
        <LinkedCaseID>0</LinkedCaseID>
        <PartyID>1</PartyID>
        <CasePartyCategoryID>2</CasePartyCategoryID>
        <LegalEntityAddressID>86670980</LegalEntityAddressID>
        <LegalEntityEmailAddressID>68190884</LegalEntityEmailAddressID>
        <PleaTypeID>18</PleaTypeID>
        <GroupPartyAlias/>
        <IsConverted>false</IsConverted>
        <LegalEntityRegisteredNameID>9601571</LegalEntityRegisteredNameID>
        <LegalEntityNameID>93309835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נאוה רבקה סירקיס</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אסף עזריאל</FullName>
        <FirstName>אסף</FirstName>
        <LastName>עזריאל</LastName>
        <PartyPropertyName/>
        <AuthenticationTypeAndNumber>מ.ר. 61208</AuthenticationTypeAndNumber>
        <RepresentatedOrRepresentativesNames>אחמד אבו אלהוא,  פרוגרסיב וויזון אינטרנשיונל</RepresentatedOrRepresentativesNames>
        <RepresentatedOrRepresentativesCount>2</RepresentatedOrRepresentativesCount>
        <InvitedBy/>
        <CaseID>77789099</CaseID>
        <CaseJudicialPersonPresentationDS>
          <CaseJudicalPersonActive>
            <CaseID>77789099</CaseID>
            <JudicialPersonID>055121115@GOV.IL</JudicialPersonID>
            <JudicialPersonTypeID>1</JudicialPersonTypeID>
            <JudicialTypeID>1</JudicialTypeID>
            <IsChairman>false</IsChairman>
            <TreatmentStartDate>2020-10-18T15:38:53.217+03:00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217492976</CasePartyID>
        <PartyTypeID>2</PartyTypeID>
        <ActivityStatusID>1</ActivityStatusID>
        <PartyAliasID>35</PartyAliasID>
        <PartyAliasName>בא כוח עוררים</PartyAliasName>
        <OrdinalNumber>1</OrdinalNumber>
        <LegalEntityID>71818571</LegalEntityID>
        <CaseLegalEntityID>112697452</CaseLegalEntityID>
        <AuthenticationTypeID>4</AuthenticationTypeID>
        <AuthenticationTypeName>מ.ר.</AuthenticationTypeName>
        <LegalEntityNumber>61208</LegalEntityNumber>
        <IsMainPartyType>true</IsMainPartyType>
        <CaseDisplayIdentifier>31738-10-20</CaseDisplayIdentifier>
        <CaseTypeID>14</CaseTypeID>
        <CaseTypeName>ועדת ערר (ו"ע)</CaseTypeName>
        <CaseName>אבו אלהוא ואח' נ' אגף מס הכנסה ומיסוי מקרקעין - חקירות מרכז מדור תביעות</CaseName>
        <FullAddress>רבי עקיבא 8 ירושלים </FullAddress>
        <EmailAddress>mazkirut@aa-adv.co.il</EmailAddress>
        <MotionID>0</MotionID>
        <CasePleaID>0</CasePleaID>
        <LinkedCaseID>0</LinkedCaseID>
        <PartyID>1</PartyID>
        <CasePartyCategoryID>2</CasePartyCategoryID>
        <LegalEntityAddressID>78536119</LegalEntityAddressID>
        <LegalEntityEmailAddressID>67904251</LegalEntityEmailAddressID>
        <PleaTypeID>18</PleaTypeID>
        <LawyerOfficeName>עזריאל ושות'</LawyerOfficeName>
        <LawyerOfficeID>419389</LawyerOfficeID>
        <GroupPartyAlias/>
        <IsConverted>false</IsConverted>
        <LegalEntityNameID>75270812</LegalEntityNameID>
        <RepresentatedNamesOfAssistant/>
        <LegalEntityTypeID>4</LegalEntityTypeID>
        <IsVerdictExists>false</IsVerdictExists>
        <IsAsirAzir>false</IsAsirAzir>
        <IsPublicationProhibited>false</IsPublicationProhibited>
        <PublicationProhibitedFullName>אסף עזריאל</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אחמד אבו אלהוא</FullName>
        <FirstName>אחמד</FirstName>
        <LastName>אבו אלהוא</LastName>
        <PartyPropertyName/>
        <AuthenticationTypeAndNumber>ת"ז 086054640</AuthenticationTypeAndNumber>
        <RepresentatedOrRepresentativesNames>אסף עזריאל</RepresentatedOrRepresentativesNames>
        <RepresentatedOrRepresentativesCount>1</RepresentatedOrRepresentativesCount>
        <InvitedBy/>
        <CaseID>77789099</CaseID>
        <CaseJudicialPersonPresentationDS>
          <CaseJudicalPersonActive>
            <CaseID>77789099</CaseID>
            <JudicialPersonID>055121115@GOV.IL</JudicialPersonID>
            <JudicialPersonTypeID>1</JudicialPersonTypeID>
            <JudicialTypeID>1</JudicialTypeID>
            <IsChairman>false</IsChairman>
            <TreatmentStartDate>2020-10-18T15:38:53.217+03:00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217492975</CasePartyID>
        <PartyTypeID>1</PartyTypeID>
        <ActivityStatusID>1</ActivityStatusID>
        <PartyAliasID>16</PartyAliasID>
        <PartyAliasName>עורר</PartyAliasName>
        <OrdinalNumber>1</OrdinalNumber>
        <LegalEntityID>71303730</LegalEntityID>
        <CaseLegalEntityID>112697451</CaseLegalEntityID>
        <AuthenticationTypeID>1</AuthenticationTypeID>
        <AuthenticationTypeName>ת"ז</AuthenticationTypeName>
        <LegalEntityNumber>086054640</LegalEntityNumber>
        <IsMainPartyType>true</IsMainPartyType>
        <CaseDisplayIdentifier>31738-10-20</CaseDisplayIdentifier>
        <CaseTypeID>14</CaseTypeID>
        <CaseTypeName>ועדת ערר (ו"ע)</CaseTypeName>
        <CaseName>אבו אלהוא ואח' נ' אגף מס הכנסה ומיסוי מקרקעין - חקירות מרכז מדור תביעות</CaseName>
        <FullAddress>רבי עקיבא 8  כתובת להמצאה</FullAddress>
        <EmailAddress>mazkirut@aa-adv.co.il</EmailAddress>
        <MotionID>0</MotionID>
        <CasePleaID>0</CasePleaID>
        <FatherName>מוחמד</FatherName>
        <LinkedCaseID>0</LinkedCaseID>
        <PartyID>1</PartyID>
        <CasePartyCategoryID>2</CasePartyCategoryID>
        <LegalEntityAddressID>84419638</LegalEntityAddressID>
        <LegalEntityEmailAddressID>68086519</LegalEntityEmailAddressID>
        <PleaTypeID>18</PleaTypeID>
        <GroupPartyAlias>עוררים</GroupPartyAlias>
        <IsConverted>false</IsConverted>
        <LegalEntityRegisteredNameID>9282541</LegalEntityRegisteredNameID>
        <LegalEntityNameID>90336687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אחמד אבו אלהוא</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אגף מס הכנסה ומיסוי מקרקעין - חקירות מרכז מדור תביעות</FullName>
        <LastName>אגף מס הכנסה ומיסוי מקרקעין - חקירות מרכז מדור תביעות</LastName>
        <PartyPropertyName/>
        <AuthenticationTypeAndNumber>משרדי ממשלה 570001623</AuthenticationTypeAndNumber>
        <RepresentatedOrRepresentativesNames>קרן יוסט</RepresentatedOrRepresentativesNames>
        <RepresentatedOrRepresentativesCount>1</RepresentatedOrRepresentativesCount>
        <InvitedBy/>
        <CaseID>77789099</CaseID>
        <CaseJudicialPersonPresentationDS>
          <CaseJudicalPersonActive>
            <CaseID>77789099</CaseID>
            <JudicialPersonID>055121115@GOV.IL</JudicialPersonID>
            <JudicialPersonTypeID>1</JudicialPersonTypeID>
            <JudicialTypeID>1</JudicialTypeID>
            <IsChairman>false</IsChairman>
            <TreatmentStartDate>2020-10-18T15:38:53.217+03:00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217492977</CasePartyID>
        <PartyTypeID>1</PartyTypeID>
        <ActivityStatusID>1</ActivityStatusID>
        <PartyAliasID>4</PartyAliasID>
        <PartyAliasName>משיב</PartyAliasName>
        <OrdinalNumber>1</OrdinalNumber>
        <LegalEntityID>72153077</LegalEntityID>
        <CaseLegalEntityID>112697453</CaseLegalEntityID>
        <AuthenticationTypeID>13</AuthenticationTypeID>
        <AuthenticationTypeName>משרדי ממשלה</AuthenticationTypeName>
        <LegalEntityNumber>570001623</LegalEntityNumber>
        <IsMainPartyType>true</IsMainPartyType>
        <CaseDisplayIdentifier>31738-10-20</CaseDisplayIdentifier>
        <CaseTypeID>14</CaseTypeID>
        <CaseTypeName>ועדת ערר (ו"ע)</CaseTypeName>
        <CaseName>אבו אלהוא ואח' נ' אגף מס הכנסה ומיסוי מקרקעין - חקירות מרכז מדור תביעות</CaseName>
        <FullAddress>הצורף 5 חולון </FullAddress>
        <MotionID>0</MotionID>
        <CasePleaID>0</CasePleaID>
        <LinkedCaseID>0</LinkedCaseID>
        <PartyID>2</PartyID>
        <CasePartyCategoryID>2</CasePartyCategoryID>
        <LegalEntityAddressID>88202205</LegalEntityAddressID>
        <PleaTypeID>18</PleaTypeID>
        <GroupPartyAlias>משיבים</GroupPartyAlias>
        <IsConverted>false</IsConverted>
        <LegalEntityRegisteredNameID>3636393</LegalEntityRegisteredNameID>
        <RepresentatedNamesOfAssistant/>
        <LegalEntityTypeID>3</LegalEntityTypeID>
        <IsVerdictExists>false</IsVerdictExists>
        <IsAsirAzir>false</IsAsirAzir>
        <IsPublicationProhibited>false</IsPublicationProhibited>
        <PublicationProhibitedFullName>אגף מס הכנסה ומיסוי מקרקעין - חקירות מרכז מדור תביעות</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77789099</CaseID>
        <CaseJudicialPersonPresentationDS>
          <CaseJudicalPersonActive>
            <CaseID>77789099</CaseID>
            <JudicialPersonID>055121115@GOV.IL</JudicialPersonID>
            <JudicialPersonTypeID>1</JudicialPersonTypeID>
            <JudicialTypeID>1</JudicialTypeID>
            <IsChairman>false</IsChairman>
            <TreatmentStartDate>2020-10-18T15:38:53.217+03:00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260961832</CasePartyID>
        <PartyTypeID>2</PartyTypeID>
        <ActivityStatusID>1</ActivityStatusID>
        <PartyAliasID>23</PartyAliasID>
        <PartyAliasName>בא כוח משיבים</PartyAliasName>
        <OrdinalNumber>1</OrdinalNumber>
        <LegalEntityID>401563</LegalEntityID>
        <CaseLegalEntityID>126068392</CaseLegalEntityID>
        <AuthenticationTypeID>4</AuthenticationTypeID>
        <AuthenticationTypeName>מ.ר.</AuthenticationTypeName>
        <LegalEntityNumber>23388</LegalEntityNumber>
        <IsMainPartyType>true</IsMainPartyType>
        <CaseDisplayIdentifier>31738-10-20</CaseDisplayIdentifier>
        <CaseTypeID>14</CaseTypeID>
        <CaseTypeName>ועדת ערר (ו"ע)</CaseTypeName>
        <CaseName>אבו אלהוא ואח' נ' אגף מס הכנסה ומיסוי מקרקעין - חקירות מרכז מדור תביעות</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18</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כתב ערר</PleaName>
        <PartyBelonging>צד א'</PartyBelonging>
        <RoleName>עורר 2</RoleName>
        <IsSubProceeding>FALSE</IsSubProceeding>
        <FullName>פרוגרסיב וויזון אינטרנשיונל</FullName>
        <PartyPropertyName/>
        <AuthenticationTypeAndNumber>חברות </AuthenticationTypeAndNumber>
        <RepresentatedOrRepresentativesNames>סלי אילון, אסף עזריאל</RepresentatedOrRepresentativesNames>
        <RepresentatedOrRepresentativesCount>2</RepresentatedOrRepresentativesCount>
        <InvitedBy/>
        <CaseID>77789099</CaseID>
        <CaseJudicialPersonPresentationDS>
          <CaseJudicalPersonActive>
            <CaseID>77789099</CaseID>
            <JudicialPersonID>055121115@GOV.IL</JudicialPersonID>
            <JudicialPersonTypeID>1</JudicialPersonTypeID>
            <JudicialTypeID>1</JudicialTypeID>
            <IsChairman>false</IsChairman>
            <TreatmentStartDate>2020-10-18T15:38:53.217+03:00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217492974</CasePartyID>
        <PartyTypeID>1</PartyTypeID>
        <ActivityStatusID>1</ActivityStatusID>
        <PartyAliasID>16</PartyAliasID>
        <PartyAliasName>עורר</PartyAliasName>
        <OrdinalNumber>2</OrdinalNumber>
        <LegalEntityID>79287551</LegalEntityID>
        <CaseLegalEntityID>112697450</CaseLegalEntityID>
        <AuthenticationTypeID>3</AuthenticationTypeID>
        <AuthenticationTypeName>חברות</AuthenticationTypeName>
        <IsMainPartyType>true</IsMainPartyType>
        <CaseDisplayIdentifier>31738-10-20</CaseDisplayIdentifier>
        <CaseTypeID>14</CaseTypeID>
        <CaseTypeName>ועדת ערר (ו"ע)</CaseTypeName>
        <CaseName>אבו אלהוא ואח' נ' אגף מס הכנסה ומיסוי מקרקעין - חקירות מרכז מדור תביעות</CaseName>
        <FullAddress/>
        <MotionID>0</MotionID>
        <CasePleaID>0</CasePleaID>
        <BirthDate>1955-01-01T00:00:00+02:00</BirthDate>
        <FatherName>ויקטור חיים</FatherName>
        <LinkedCaseID>0</LinkedCaseID>
        <PartyID>1</PartyID>
        <CasePartyCategoryID>2</CasePartyCategoryID>
        <PleaTypeID>18</PleaTypeID>
        <GroupPartyAlias>עוררים</GroupPartyAlias>
        <IsConverted>false</IsConverted>
        <LegalEntityNameID>90336684</LegalEntityNameID>
        <RepresentatedNamesOfAssistant/>
        <LegalEntityTypeID>3</LegalEntityTypeID>
        <IsVerdictExists>false</IsVerdictExists>
        <IsAsirAzir>false</IsAsirAzir>
        <IsPublicationProhibited>false</IsPublicationProhibited>
        <PublicationProhibitedFullName>פרוגרסיב וויזון אינטרנשיונל</PublicationProhibitedFullName>
      </CaseParties>
    </CasePartiesSelectionDS>
    <CaseName>אבו אלהוא ואח' נ' אגף מס הכנסה ומיסוי מקרקעין - חקירות מרכז מדור תביעות</CaseName>
    <CaseDisplayIdentifier>31738-10-20</CaseDisplayIdentifier>
    <CaseInterestID>28</CaseInterestID>
    <CaseTypeShortName>ו"ע</CaseTypeShortName>
  </dt_DecisionCase>
  <dt_DecisionJudgePanel>
    <JudgeID>055121115@GOV.IL</JudgeID>
    <DisplayName>אביגדור דורות</DisplayName>
    <RoleName>שופט</RoleName>
    <UserTitleName>שופט</UserTitleName>
  </dt_DecisionJudgePanel>
  <dt_LegalEntityDetails>
    <Phone>02-5877888</Phone>
    <PartyID>1</PartyID>
    <PartyTypeID>2</PartyTypeID>
    <DecisionID>0</DecisionID>
    <StreetName>הרטום 16, ת.ד. 45225</StreetName>
    <ZipCode>9145101</ZipCode>
    <CityName>ירושלים</CityName>
    <FullName>סלי אילון</FullName>
    <Email>sali@salieilon.co.il</Email>
    <IsPublicationProhibited>false</IsPublicationProhibited>
  </dt_LegalEntityDetails>
  <dt_LegalEntityDetails>
    <Fax/>
    <Phone/>
    <AddressDesc/>
    <PartyID>1</PartyID>
    <PartyTypeID>3</PartyTypeID>
    <DecisionID>0</DecisionID>
    <AssistantRoleID>112</AssistantRoleID>
    <StreetName>.</StreetName>
    <CityName>תל אביב -יפו</CityName>
    <FullName>גבע בלטר</FullName>
    <Email>geva@gbalter.com</Email>
    <IsPublicationProhibited>false</IsPublicationProhibited>
  </dt_LegalEntityDetails>
  <dt_LegalEntityDetails>
    <Fax>02-5660235</Fax>
    <Phone>02-5660239</Phone>
    <AddressDesc/>
    <PartyID>1</PartyID>
    <PartyTypeID>3</PartyTypeID>
    <DecisionID>0</DecisionID>
    <AssistantRoleID>112</AssistantRoleID>
    <StreetName>החי"ם 10</StreetName>
    <ZipCode>9410120</ZipCode>
    <CityName>ירושלים</CityName>
    <FullName>נאוה רבקה סירקיס</FullName>
    <Email>navasir@bezeqint.net</Email>
    <IsPublicationProhibited>false</IsPublicationProhibited>
  </dt_LegalEntityDetails>
  <dt_LegalEntityDetails>
    <AddressDesc>כתובת להמצאה </AddressDesc>
    <PartyID>1</PartyID>
    <PartyTypeID>1</PartyTypeID>
    <DecisionID>0</DecisionID>
    <StreetName>רבי עקיבא 8</StreetName>
    <FullName>אחמד אבו אלהוא</FullName>
    <Email>mazkirut@aa-adv.co.il</Email>
    <IsPublicationProhibited>false</IsPublicationProhibited>
  </dt_LegalEntityDetails>
  <dt_LegalEntityDetails>
    <Fax>02-5383731</Fax>
    <Phone>02-5003366</Phone>
    <PartyID>1</PartyID>
    <PartyTypeID>2</PartyTypeID>
    <DecisionID>0</DecisionID>
    <StreetName>רבי עקיבא 8</StreetName>
    <ZipCode>9458208</ZipCode>
    <CityName>ירושלים</CityName>
    <FullName>אסף עזריאל</FullName>
    <Email>mazkirut@aa-adv.co.il</Email>
    <IsPublicationProhibited>false</IsPublicationProhibited>
  </dt_LegalEntityDetails>
  <dt_LegalEntityDetails>
    <Fax>03-5590995</Fax>
    <Phone>074-7615504</Phone>
    <PartyID>2</PartyID>
    <PartyTypeID>1</PartyTypeID>
    <DecisionID>0</DecisionID>
    <StreetName>הצורף 5</StreetName>
    <ZipCode>58856</ZipCode>
    <CityName>חולון</CityName>
    <FullName> אגף מס הכנסה ומיסוי מקרקעין - חקירות מרכז מדור תביעות</FullName>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LegalEntityDetails>
    <PartyID>1</PartyID>
    <PartyTypeID>1</PartyTypeID>
    <DecisionID>0</DecisionID>
    <FullName> פרוגרסיב וויזון אינטרנשיונל</FullName>
    <IsPublicationProhibited>false</IsPublicationProhibited>
  </dt_LegalEntityDetails>
  <dt_CaseJudicalPersonActive>
    <CaseJudicalPerson>שופט אביגדור דורות</CaseJudicalPerson>
  </dt_CaseJudicalPersonActive>
  <dt_Sitting>
    <PreviousMeetingDate>2022-12-01T10:00:00+02:00</PreviousMeetingDate>
    <PreviousSittingTypeID>2</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B3C6A-A4E4-4AD6-BD30-1D447F7E6334}">
  <ds:schemaRefs/>
</ds:datastoreItem>
</file>

<file path=customXml/itemProps2.xml><?xml version="1.0" encoding="utf-8"?>
<ds:datastoreItem xmlns:ds="http://schemas.openxmlformats.org/officeDocument/2006/customXml" ds:itemID="{B2526169-78F5-4426-B5C7-AD274285A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4957</Words>
  <Characters>24790</Characters>
  <Application>Microsoft Office Word</Application>
  <DocSecurity>0</DocSecurity>
  <Lines>206</Lines>
  <Paragraphs>59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2024-07-01T06:54:00Z</dcterms:created>
  <dcterms:modified xsi:type="dcterms:W3CDTF">2024-07-01T06:54:00Z</dcterms:modified>
</cp:coreProperties>
</file>